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45.png" ContentType="image/png"/>
  <Override PartName="/word/media/rId36.png" ContentType="image/png"/>
  <Override PartName="/word/media/rId43.png" ContentType="image/png"/>
  <Override PartName="/word/media/rId41.png" ContentType="image/png"/>
  <Override PartName="/word/media/rId88.png" ContentType="image/png"/>
  <Override PartName="/word/media/rId83.png" ContentType="image/png"/>
  <Override PartName="/word/media/rId82.png" ContentType="image/png"/>
  <Override PartName="/word/media/rId94.png" ContentType="image/png"/>
  <Override PartName="/word/media/rId93.png" ContentType="image/png"/>
  <Override PartName="/word/media/rId86.png" ContentType="image/png"/>
  <Override PartName="/word/media/rId85.png" ContentType="image/png"/>
  <Override PartName="/word/media/rId74.png" ContentType="image/png"/>
  <Override PartName="/word/media/rId90.png" ContentType="image/png"/>
  <Override PartName="/word/media/rId91.png" ContentType="image/png"/>
  <Override PartName="/word/media/rId81.png" ContentType="image/png"/>
  <Override PartName="/word/media/rId67.png" ContentType="image/png"/>
  <Override PartName="/word/media/rId69.png" ContentType="image/png"/>
  <Override PartName="/word/media/rId65.png" ContentType="image/png"/>
  <Override PartName="/word/media/rId64.png" ContentType="image/png"/>
  <Override PartName="/word/media/rId62.png" ContentType="image/png"/>
  <Override PartName="/word/media/rId61.png" ContentType="image/png"/>
  <Override PartName="/word/media/rId72.png" ContentType="image/png"/>
  <Override PartName="/word/media/rId56.png" ContentType="image/png"/>
  <Override PartName="/word/media/rId38.png" ContentType="image/png"/>
  <Override PartName="/word/media/rId112.png" ContentType="image/png"/>
  <Override PartName="/word/media/rId113.png" ContentType="image/png"/>
  <Override PartName="/word/media/rId78.png" ContentType="image/png"/>
  <Override PartName="/word/media/rId59.png" ContentType="image/png"/>
  <Override PartName="/word/media/rId116.png" ContentType="image/png"/>
  <Override PartName="/word/media/rId115.png" ContentType="image/png"/>
  <Override PartName="/word/media/rId79.png" ContentType="image/png"/>
  <Override PartName="/word/media/rId117.png" ContentType="image/png"/>
  <Override PartName="/word/media/rId118.png" ContentType="image/png"/>
  <Override PartName="/word/media/rId119.png" ContentType="image/png"/>
  <Override PartName="/word/media/image29.png" ContentType="image/png"/>
  <Override PartName="/word/media/image4.png" ContentType="image/png"/>
  <Override PartName="/word/media/image1.png" ContentType="image/png"/>
  <Override PartName="/word/media/image2.png" ContentType="image/png"/>
  <Override PartName="/word/media/image3.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t xml:space="preserve">This research contributes to understanding the</w:t>
      </w:r>
      <w:r>
        <w:t xml:space="preserve"> </w:t>
      </w:r>
      <w:r>
        <w:t xml:space="preserve">“</w:t>
      </w:r>
      <w:r>
        <w:t xml:space="preserve">natural</w:t>
      </w:r>
      <w:r>
        <w:t xml:space="preserve">”</w:t>
      </w:r>
      <w:r>
        <w:t xml:space="preserve"> </w:t>
      </w:r>
      <w:r>
        <w:t xml:space="preserve">variability in DOM and DOC across a forested riverine watershed: the Leech River watershed on Vancouver Island, British Columbia, Canada. Land-use impacts are minimal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 </w:t>
      </w:r>
    </w:p>
    <w:p>
      <w:pPr>
        <w:pStyle w:val="BodyText"/>
      </w:pPr>
      <w:r>
        <w:t xml:space="preserve">The purpose of this master’s research project was to establish a baseline understanding of hydrologic responses and water quality variability in rivers across the LWSA. The approach includes advanced synoptic sampling within stormflow, supplemented with standard grab samples between storm events and during summer baseflow. Discrete samples of river water were collected passively during the rising limb of stormflow (falling limb prototype in progress)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fairly good spatial resolution of hydrochemical variability across the watershed.</w:t>
      </w:r>
    </w:p>
    <w:p>
      <w:pPr>
        <w:pStyle w:val="BodyText"/>
      </w:pPr>
      <w:r>
        <w:t xml:space="preserve"> </w:t>
      </w:r>
    </w:p>
    <w:p>
      <w:pPr>
        <w:pStyle w:val="BodyText"/>
      </w:pPr>
      <w:r>
        <w:rPr>
          <w:b/>
        </w:rPr>
        <w:t xml:space="preserve">CGU poster abstract:</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every 10 minutes with capacitance level loggers. Synoptic water sampling was completed every two to four weeks from November 2018 to February 2020. A total of 458 samples (204 Rack and 254 Synoptic Grab samples) were collected and analyzed for dissolved organic carbon (DOC) and dissolved organic matter (DOM) through high temperature combustion and UV-Vis spectroscopy (respectively).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We observed a seasonal difference in DOM character assessed by SUVA254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Compact"/>
        <w:numPr>
          <w:numId w:val="1001"/>
          <w:ilvl w:val="0"/>
        </w:numPr>
      </w:pPr>
      <w:r>
        <w:t xml:space="preserve">(max 150 words) - roman numeral TOC</w:t>
      </w:r>
    </w:p>
    <w:p>
      <w:pPr>
        <w:pStyle w:val="Compact"/>
        <w:numPr>
          <w:numId w:val="1001"/>
          <w:ilvl w:val="0"/>
        </w:numPr>
      </w:pPr>
      <w:r>
        <w:t xml:space="preserve">include plain-language summary</w:t>
      </w:r>
    </w:p>
    <w:p>
      <w:pPr>
        <w:pStyle w:val="Heading1"/>
      </w:pPr>
      <w:bookmarkStart w:id="22" w:name="preface"/>
      <w:r>
        <w:t xml:space="preserve">Preface</w:t>
      </w:r>
      <w:bookmarkEnd w:id="22"/>
    </w:p>
    <w:p>
      <w:pPr>
        <w:pStyle w:val="Compact"/>
        <w:numPr>
          <w:numId w:val="1002"/>
          <w:ilvl w:val="0"/>
        </w:numPr>
      </w:pPr>
      <w:r>
        <w:t xml:space="preserve">roman numeral TOC</w:t>
      </w:r>
    </w:p>
    <w:p>
      <w:pPr>
        <w:pStyle w:val="FirstParagraph"/>
      </w:pPr>
      <w:r>
        <w:t xml:space="preserve">see:</w:t>
      </w:r>
      <w:r>
        <w:t xml:space="preserve"> </w:t>
      </w:r>
      <w:hyperlink r:id="rId23">
        <w:r>
          <w:rPr>
            <w:rStyle w:val="Hyperlink"/>
          </w:rPr>
          <w:t xml:space="preserve">https://www.grad.ubc.ca/sites/default/files/doc/page/thesis_sample_prefaces.pdf</w:t>
        </w:r>
      </w:hyperlink>
    </w:p>
    <w:p>
      <w:pPr>
        <w:pStyle w:val="Compact"/>
        <w:numPr>
          <w:numId w:val="1003"/>
          <w:ilvl w:val="0"/>
        </w:numPr>
      </w:pPr>
      <w:r>
        <w:t xml:space="preserve">TOC follows, then LOT, LOF, List of Illustrations, list of abbreviations</w:t>
      </w:r>
    </w:p>
    <w:p>
      <w:pPr>
        <w:pStyle w:val="FirstParagraph"/>
      </w:pPr>
      <w:r>
        <w:t xml:space="preserve"> </w:t>
      </w:r>
    </w:p>
    <w:p>
      <w:pPr>
        <w:pStyle w:val="BodyText"/>
      </w:pPr>
      <w:r>
        <w:rPr>
          <w:b/>
        </w:rPr>
        <w:t xml:space="preserve">List of Abbreviations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NOM</w:t>
            </w:r>
          </w:p>
        </w:tc>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DOM</w:t>
            </w:r>
          </w:p>
        </w:tc>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DOC</w:t>
            </w:r>
          </w:p>
        </w:tc>
        <w:tc>
          <w:p>
            <w:pPr>
              <w:pStyle w:val="Compact"/>
              <w:jc w:val="left"/>
            </w:pPr>
            <w:r>
              <w:t xml:space="preserve">dissolved organic carbon</w:t>
            </w:r>
          </w:p>
        </w:tc>
        <w:tc>
          <w:p>
            <w:pPr>
              <w:pStyle w:val="Compact"/>
              <w:jc w:val="left"/>
            </w:pPr>
            <w:r>
              <w:t xml:space="preserve">organic carbon compounds operationally defined as finer than 0.45 um in diameter. The majority of DOM is DOC.</w:t>
            </w:r>
          </w:p>
        </w:tc>
      </w:tr>
      <w:tr>
        <w:tc>
          <w:p>
            <w:pPr>
              <w:pStyle w:val="Compact"/>
              <w:jc w:val="left"/>
            </w:pPr>
            <w:r>
              <w:t xml:space="preserve">NPOC</w:t>
            </w:r>
          </w:p>
        </w:tc>
        <w:tc>
          <w:p>
            <w:pPr>
              <w:pStyle w:val="Compact"/>
              <w:jc w:val="left"/>
            </w:pPr>
            <w:r>
              <w:t xml:space="preserve">non-purgeable organic carbon</w:t>
            </w:r>
          </w:p>
        </w:tc>
        <w:tc>
          <w:p>
            <w:pPr>
              <w:pStyle w:val="Compact"/>
              <w:jc w:val="left"/>
            </w:pPr>
            <w:r>
              <w:t xml:space="preserve">instrumental parameter measured to quantify organic carbon (e.g. on a Shimadzu TOC-V analyzer). An aqueous sample is acidified to below pH 2 to convert inorganic carbon (e.g. carbonates) to carbon dioxide (CO2), the sample is then sparged with hydrocarbon-free air to drive off CO2, then the sample is combusted at high temperatures to convert the remaining organic carbon to CO2 which is detected with a non-dispersive infrared gas analyzer.</w:t>
            </w:r>
          </w:p>
        </w:tc>
      </w:tr>
      <w:tr>
        <w:tc>
          <w:p>
            <w:pPr>
              <w:pStyle w:val="Compact"/>
              <w:jc w:val="left"/>
            </w:pPr>
            <w:r>
              <w:t xml:space="preserve">DBP-FP</w:t>
            </w:r>
          </w:p>
        </w:tc>
        <w:tc>
          <w:p>
            <w:pPr>
              <w:pStyle w:val="Compact"/>
              <w:jc w:val="left"/>
            </w:pPr>
            <w:r>
              <w:t xml:space="preserve">Disinfection By-Product Formation Potential</w:t>
            </w:r>
          </w:p>
        </w:tc>
        <w:tc>
          <w:p>
            <w:pPr>
              <w:pStyle w:val="Compact"/>
              <w:jc w:val="left"/>
            </w:pPr>
            <w:r>
              <w:t xml:space="preserve">The likelihood of creating DBPs(e.g. trihalomethanes, halogenic acetic acids, Haloacetonitrils, haloketons) when natural source water is chlorinated</w:t>
            </w:r>
          </w:p>
        </w:tc>
      </w:tr>
      <w:tr>
        <w:tc>
          <w:p>
            <w:pPr>
              <w:pStyle w:val="Compact"/>
              <w:jc w:val="left"/>
            </w:pPr>
            <w:r>
              <w:t xml:space="preserve">LWSA</w:t>
            </w:r>
          </w:p>
        </w:tc>
        <w:tc>
          <w:p>
            <w:pPr>
              <w:pStyle w:val="Compact"/>
              <w:jc w:val="left"/>
            </w:pPr>
            <w:r>
              <w:t xml:space="preserve">Leech Water Supply Area</w:t>
            </w:r>
          </w:p>
        </w:tc>
        <w:tc>
          <w:p>
            <w:pPr>
              <w:pStyle w:val="Compact"/>
              <w:jc w:val="left"/>
            </w:pPr>
            <w:r>
              <w:t xml:space="preserve">Future water supply area anticipated to supplement the primary water supply (Sooke Reservoir) for the Greater Victoria Area via inter-basin transfer. LWSA is the research site for this thesis’ field work.</w:t>
            </w:r>
          </w:p>
        </w:tc>
      </w:tr>
      <w:tr>
        <w:tc>
          <w:p>
            <w:pPr>
              <w:pStyle w:val="Compact"/>
              <w:jc w:val="left"/>
            </w:pPr>
            <w:r>
              <w:t xml:space="preserve">CRD</w:t>
            </w:r>
          </w:p>
        </w:tc>
        <w:tc>
          <w:p>
            <w:pPr>
              <w:pStyle w:val="Compact"/>
              <w:jc w:val="left"/>
            </w:pPr>
            <w:r>
              <w:t xml:space="preserve">Capital Regional District</w:t>
            </w:r>
          </w:p>
        </w:tc>
        <w:tc>
          <w:p>
            <w:pPr>
              <w:pStyle w:val="Compact"/>
              <w:jc w:val="left"/>
            </w:pPr>
            <w:r>
              <w:t xml:space="preserve">The governing/municipal body for the Greater Victoria Area, and the managing group for water supply and watershed management. The CRD are partners in the forWater Network and hosted this thesis research in the Leech Water Supply Area.</w:t>
            </w:r>
          </w:p>
        </w:tc>
      </w:tr>
      <w:tr>
        <w:tc>
          <w:p>
            <w:pPr>
              <w:pStyle w:val="Compact"/>
              <w:jc w:val="left"/>
            </w:pPr>
            <w:r>
              <w:t xml:space="preserve">GVWSA</w:t>
            </w:r>
          </w:p>
        </w:tc>
        <w:tc>
          <w:p>
            <w:pPr>
              <w:pStyle w:val="Compact"/>
              <w:jc w:val="left"/>
            </w:pPr>
            <w:r>
              <w:t xml:space="preserve">Greater Victoria Water Supply Area</w:t>
            </w:r>
          </w:p>
        </w:tc>
        <w:tc>
          <w:p>
            <w:pPr>
              <w:pStyle w:val="Compact"/>
              <w:jc w:val="left"/>
            </w:pPr>
            <w:r>
              <w:t xml:space="preserve">20,549 hectares of protected drinking water catchment lands owned and operated by the Capital Regional District. Includes the Sooke Lake watershed and reservoir (primary supply source), Goldstream watershed and reservoir system (secondary supply) and the Leech River watershed (future water supply area, and the study site of this thesis research)</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thanks for making me feel welcome on site and including me daily field operations.</w:t>
      </w:r>
    </w:p>
    <w:p>
      <w:pPr>
        <w:pStyle w:val="BodyText"/>
      </w:pPr>
      <w:r>
        <w:t xml:space="preserve"> </w:t>
      </w:r>
    </w:p>
    <w:p>
      <w:pPr>
        <w:pStyle w:val="BodyText"/>
      </w:pPr>
      <w:r>
        <w:t xml:space="preserve">This research also would not have been possible without the support and encouragement from academic supervisors and partners from the NSERC forWater Network for Forested Drinking Water Source Protection Technologies: Bill Floyd, Mark Johnson, Suzanne Tank, Mike Stone, Dana Harriman, Monica Emelko, Uldis Silins, Axel Anderson. I would like to acknowledge the support from Vancouver Island University and University of British Columbia - thank you for taking me on as a master’s student.</w:t>
      </w:r>
    </w:p>
    <w:p>
      <w:pPr>
        <w:pStyle w:val="BodyText"/>
      </w:pPr>
      <w:r>
        <w:t xml:space="preserve"> </w:t>
      </w:r>
    </w:p>
    <w:p>
      <w:pPr>
        <w:pStyle w:val="BodyText"/>
      </w:pPr>
      <w:r>
        <w:t xml:space="preserve">For help with field installations and streamflow gauging, a big thanks to my friend and former field partner, Stewart Butler, of Bill Floyd’s Coastal Hydrology Research Lab; thanks Stew. Thanks also to Alison Bishop for field assistance during the winter of 2019/2020.</w:t>
      </w:r>
    </w:p>
    <w:p>
      <w:pPr>
        <w:pStyle w:val="BodyText"/>
      </w:pPr>
      <w:r>
        <w:t xml:space="preserve"> </w:t>
      </w:r>
    </w:p>
    <w:p>
      <w:pPr>
        <w:pStyle w:val="BodyText"/>
      </w:pPr>
      <w:r>
        <w:t xml:space="preserve">Last but certainly not least, thanks to my incredibly wonderful friends and family for supporting me in my scientific and academic pursuits. I really appreciate all the love and support, dinners and coffees, bike rides and beers, proof-reading and encouragement.</w:t>
      </w:r>
    </w:p>
    <w:p>
      <w:pPr>
        <w:pStyle w:val="BodyText"/>
      </w:pPr>
      <w:r>
        <w:t xml:space="preserve"> </w:t>
      </w:r>
    </w:p>
    <w:p>
      <w:pPr>
        <w:pStyle w:val="Heading1"/>
      </w:pPr>
      <w:bookmarkStart w:id="25" w:name="dedication"/>
      <w:r>
        <w:t xml:space="preserve">Dedication</w:t>
      </w:r>
      <w:bookmarkEnd w:id="25"/>
    </w:p>
    <w:p>
      <w:pPr>
        <w:pStyle w:val="FirstParagraph"/>
      </w:pPr>
      <w:r>
        <w:t xml:space="preserve">To each person who reads this thesis in its entirety.</w:t>
      </w:r>
    </w:p>
    <w:p>
      <w:pPr>
        <w:pStyle w:val="BodyText"/>
      </w:pPr>
      <w:r>
        <w:t xml:space="preserve"> </w:t>
      </w:r>
    </w:p>
    <w:p>
      <w:pPr>
        <w:pStyle w:val="BodyText"/>
      </w:pPr>
      <w:r>
        <w:t xml:space="preserve">To the love of data science: I’m grateful for Jenny Byran’s online resources,</w:t>
      </w:r>
      <w:r>
        <w:t xml:space="preserve"> </w:t>
      </w:r>
      <w:hyperlink r:id="rId26">
        <w:r>
          <w:rPr>
            <w:rStyle w:val="Hyperlink"/>
          </w:rPr>
          <w:t xml:space="preserve">StackOverflow</w:t>
        </w:r>
      </w:hyperlink>
      <w:r>
        <w:t xml:space="preserve"> </w:t>
      </w:r>
      <w:r>
        <w:t xml:space="preserve">for the solution to so many coding challenges.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Heading2"/>
      </w:pPr>
      <w:bookmarkStart w:id="27" w:name="introduction"/>
      <w:r>
        <w:t xml:space="preserve">Introduction</w:t>
      </w:r>
      <w:bookmarkEnd w:id="27"/>
    </w:p>
    <w:p>
      <w:pPr>
        <w:pStyle w:val="Heading3"/>
      </w:pPr>
      <w:bookmarkStart w:id="28" w:name="X950a60ad65bf96ca879ca6f7ac714147c4499d1"/>
      <w:r>
        <w:t xml:space="preserve">Forested source water supplies and drinking water treatment</w:t>
      </w:r>
      <w:bookmarkEnd w:id="28"/>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resulting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and runoff processes introduce terrestrial material, sediments, nutrients, and organic matter into surface waters</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source water is treated to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w:t>
      </w:r>
      <w:r>
        <w:t xml:space="preserve">.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pathogen-free water. Therefore, disinfection - the inactivation of potentially harmful microorganisms -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w:t>
      </w:r>
      <w:r>
        <w:t xml:space="preserve">. In BC, chlorination remains the most widely used method of disinfection, whether it is used alone or in combination with other treatment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In addition to treated drinking water quality guidelines, there are source water quality guidelines in place because drinking water treatment requirements vary with source water quality</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creates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high turbidity levels (i.e., suspended solids), varying temperature, dissolved oxygen, pH and natural organic matter, which can create aesthetic issues (i.e. taste, odour, colour) and effect coagulation efficiency and oxidative processes</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w:t>
      </w:r>
      <w:r>
        <w:t xml:space="preserve">. Colour is primarily an aesthetic concern for drinking water, but the natural organic matter that creates colour can interfere with effective disinfection and treatment, and thus there are water quality guidelines in place for source water colour</w:t>
      </w:r>
      <w:r>
        <w:t xml:space="preserve"> </w:t>
      </w:r>
      <w:r>
        <w:t xml:space="preserve">(British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While objectionable aesthetics (i.e., taste, odour, colour) caused by aqueous natural organic matter (NOM) do not directly impact human health, source water NOM can be problematic for effective drinking water treatment NOM reduces treatment effectiveness by interfering with ultraviolet (UV) disinfection and/or increasing chlorination demand, and because NOM promotes biological growth, it can lead to fouling of treatment and distribution infrastructure</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 Jacangelo et al.</w:t>
      </w:r>
      <w:r>
        <w:t xml:space="preserve"> </w:t>
      </w:r>
      <w:hyperlink w:anchor="ref-Jacangelo1995">
        <w:r>
          <w:rPr>
            <w:rStyle w:val="Hyperlink"/>
          </w:rPr>
          <w:t xml:space="preserve">1995</w:t>
        </w:r>
      </w:hyperlink>
      <w:r>
        <w:t xml:space="preserve">)</w:t>
      </w:r>
      <w:r>
        <w:t xml:space="preserve">. Depending on the infrastructure design and operation of a drinking water treatment plant, elevated levels of NOM in source water can increase coagulant and disinfectant demand which increases the production of sludge (to be disposed of) and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Eaton, A. D., Clesceri, L. S., Greenberg, A. E., Franson</w:t>
      </w:r>
      <w:r>
        <w:t xml:space="preserve"> </w:t>
      </w:r>
      <w:hyperlink w:anchor="ref-StdMet2000">
        <w:r>
          <w:rPr>
            <w:rStyle w:val="Hyperlink"/>
          </w:rPr>
          <w:t xml:space="preserve">2000</w:t>
        </w:r>
      </w:hyperlink>
      <w:r>
        <w:t xml:space="preserve">)</w:t>
      </w:r>
      <w:r>
        <w:t xml:space="preserve">. A number of chlorinated carbonaceous DBPs are included in Health Canada’s drinking water quality guidelines, and have maximum allowable concentrations in treated water due to their possible or known health affects (i.e., possible genotoxicity or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Heading3"/>
      </w:pPr>
      <w:bookmarkStart w:id="29" w:name="aqueous-natural-organic-matter"/>
      <w:r>
        <w:t xml:space="preserve">Aqueous natural organic matter</w:t>
      </w:r>
      <w:bookmarkEnd w:id="29"/>
    </w:p>
    <w:p>
      <w:pPr>
        <w:pStyle w:val="FirstParagraph"/>
      </w:pPr>
      <w:r>
        <w:t xml:space="preserve">Natural organic matter (NOM)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Molecular composition and physical structure influence NOM reactivity, therefore different types of aqueous NOM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r>
        <w:t xml:space="preserve">; Chow et al.</w:t>
      </w:r>
      <w:r>
        <w:t xml:space="preserve"> </w:t>
      </w:r>
      <w:hyperlink w:anchor="ref-Chow2008">
        <w:r>
          <w:rPr>
            <w:rStyle w:val="Hyperlink"/>
          </w:rPr>
          <w:t xml:space="preserve">2008</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NOM comprises a dynamic collection of molecules that originate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(i.e., autochthonous NOM). Terrestrial organic matter (allochthonous NOM) includes humic and fluvic acids, tannins, and a wide variety of other compounds (e.g. phenols and lignin, hydrocarbons, proteins, carbohydrates, etc.), which enter fresh water through runoff processes</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Molecular structures of NOM can contain nitrogen, silica, oxygen and hydrogen and are composed primarily of carbon; thus, organic carbon (OC) is often quantified as a proxy for NOM concentration</w:t>
      </w:r>
      <w:r>
        <w:t xml:space="preserve"> </w:t>
      </w:r>
      <w:r>
        <w:t xml:space="preserve">(Health Canada</w:t>
      </w:r>
      <w:r>
        <w:t xml:space="preserve"> </w:t>
      </w:r>
      <w:hyperlink w:anchor="ref-HealthCanada2019">
        <w:r>
          <w:rPr>
            <w:rStyle w:val="Hyperlink"/>
          </w:rPr>
          <w:t xml:space="preserve">2019</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(Eaton, A. D., Clesceri, L. S., Greenberg, A. E., Franson</w:t>
      </w:r>
      <w:r>
        <w:t xml:space="preserve"> </w:t>
      </w:r>
      <w:hyperlink w:anchor="ref-StdMet2000">
        <w:r>
          <w:rPr>
            <w:rStyle w:val="Hyperlink"/>
          </w:rPr>
          <w:t xml:space="preserve">2000</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w:t>
      </w:r>
      <w:r>
        <w:t xml:space="preserve">.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w:t>
      </w:r>
      <w:r>
        <w:t xml:space="preserve">. DOC is an important source water quality parameter to monitor. In fact, guidelines in British Columbia specify that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the other operational issues associated with NOM. Stable source water conditions lead to predictable treatment procedures, while fluctuating source water quality creates treatment challenges. Within a watershed, the characteristics and concentrations of NOM (and therefore DOC) naturally fluctuate over space and through time, creating dynamic treatability conditions</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w:t>
      </w:r>
    </w:p>
    <w:p>
      <w:pPr>
        <w:pStyle w:val="Heading3"/>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with respect to DBPs, dictates the quality of treated water</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Water quality parameters exhibit natural variability across a river network due to dynamic biotic and abiotic interactions. For example, the river continuum concept (RCC) predicts a temporal shift in DOM character, including seasonal shifts between autotrophic generation of NOM and heterotrophic processing of detritus (i.e. autochthonous to allochthonous DOM)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DOM molecular diversity from headwaters (entry point for majority of solutes) to river mouth (i.e., reduced DOM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(PSC) supplements the temporal aspects of RCC by considering how major hydrologic events drive regional DOM metabolism and the magnitude, timing and spatial extent of DOM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fluvial DOC transport is important for water treatment considerations; treatment infrastructure can be designed and adjusted to handle a range of source water conditions, but rapid changes and dramatic variations in source water quality pose major challenges for drinking water treatment.</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As changing climatic conditions are likely to lead to increases in hydrologic pulse generation - whether through increased precipitation, earlier or more intense freshet conditions, or changes in subsurface flow and connectivity -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w:t>
      </w:r>
      <w:r>
        <w:t xml:space="preserve"> </w:t>
      </w:r>
      <w:r>
        <w:t xml:space="preserve">(Emelko et al.</w:t>
      </w:r>
      <w:r>
        <w:t xml:space="preserve"> </w:t>
      </w:r>
      <w:hyperlink w:anchor="ref-Emelko2011">
        <w:r>
          <w:rPr>
            <w:rStyle w:val="Hyperlink"/>
          </w:rPr>
          <w:t xml:space="preserve">2011</w:t>
        </w:r>
      </w:hyperlink>
      <w:r>
        <w:t xml:space="preserve">)</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pPr>
        <w:pStyle w:val="BodyText"/>
      </w:pPr>
      <w:r>
        <w:t xml:space="preserve"> </w:t>
      </w:r>
    </w:p>
    <w:p>
      <w:pPr>
        <w:pStyle w:val="Heading4"/>
      </w:pPr>
      <w:bookmarkStart w:id="31" w:name="X1c8b1846ec8827e81bf11c20cacd4a3ed2cc375"/>
      <w:r>
        <w:t xml:space="preserve">Source water quality considerations Greater Victoria’s water supply areas</w:t>
      </w:r>
      <w:bookmarkEnd w:id="31"/>
    </w:p>
    <w:p>
      <w:pPr>
        <w:pStyle w:val="FirstParagraph"/>
      </w:pPr>
      <w:r>
        <w:t xml:space="preserve">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In 2007 and 2010, the CRD purchased and additional 96.28 km</w:t>
      </w:r>
      <w:r>
        <w:rPr>
          <w:vertAlign w:val="superscript"/>
        </w:rPr>
        <w:t xml:space="preserve">2</w:t>
      </w:r>
      <w:r>
        <w:t xml:space="preserve"> </w:t>
      </w:r>
      <w:r>
        <w:t xml:space="preserve">(9,628 hectares) of land which included the majority of the Leech River watershed (a major sub-catchment of the Sooke River watershed). In anticipation of future water demands, this area was designated as a supplemental water supply for Greater Victoria, and is known as the the Leech Water Supply Area (LWSA). In the future (possibly by 2050), water from the LWSA will be transferred through a diversion tunnel to supplement Sooke Reservoir, the primary drinking water supply (i.e., inter-basin transfer). Approximately 92% of the Leech River watershed above the point of diversion (Leech Tunnel) is protected as WSA.</w:t>
      </w:r>
    </w:p>
    <w:p>
      <w:pPr>
        <w:pStyle w:val="BodyText"/>
      </w:pPr>
      <w:r>
        <w:t xml:space="preserve"> </w:t>
      </w:r>
    </w:p>
    <w:p>
      <w:pPr>
        <w:pStyle w:val="BodyText"/>
      </w:pPr>
      <w:r>
        <w:t xml:space="preserve">Overall, the hydrology of the LWSA is poorly understood, as are its water quality dynamics. 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Before work is done on inter-basin transfers, the hydrology and water quality of the Leech River system need to be better understood.</w:t>
      </w:r>
    </w:p>
    <w:p>
      <w:pPr>
        <w:pStyle w:val="BodyText"/>
      </w:pPr>
      <w:r>
        <w:t xml:space="preserve"> </w:t>
      </w:r>
    </w:p>
    <w:p>
      <w:pPr>
        <w:pStyle w:val="BodyText"/>
      </w:pPr>
      <w:r>
        <w:t xml:space="preserve">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they are now managed to improve drinking source water quality and to reduce the risk of landscape level wildfire. Due to prior harvest, reforestation and active fire suppression, forest fire fuels have accumulated and pose a threat in the event that a fire occurs. In the Sooke WSA, the CRD implements forest treatments designed to foster healthy forest stands capable of reducing fire intensity, such as reducing fuel hazards and creating conditions that are safe for crews to action a fire. Similarly, preventative fire treatments will be applied in the LWSA prior to inter-basin transfers. Developing an understanding of baseline water quality dynamics and hydrologic forces in the LWSA will help to inform forest management strategies by evaluating the effects of fire fuel management on water supply.</w:t>
      </w:r>
    </w:p>
    <w:p>
      <w:pPr>
        <w:pStyle w:val="BodyText"/>
      </w:pPr>
      <w:r>
        <w:t xml:space="preserve"> </w:t>
      </w:r>
    </w:p>
    <w:p>
      <w:pPr>
        <w:pStyle w:val="BodyText"/>
      </w:pPr>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 Understanding dynamics and variability of hydrochemistry in the LWSA is needed to anticipate possible treatment challenges that may accompany future inter-basin transfer from the LWSA.</w:t>
      </w:r>
    </w:p>
    <w:p>
      <w:pPr>
        <w:pStyle w:val="Heading3"/>
      </w:pPr>
      <w:bookmarkStart w:id="32" w:name="research-objectives"/>
      <w:r>
        <w:t xml:space="preserve">Research Objectives</w:t>
      </w:r>
      <w:bookmarkEnd w:id="32"/>
    </w:p>
    <w:p>
      <w:pPr>
        <w:pStyle w:val="FirstParagraph"/>
      </w:pPr>
      <w:r>
        <w:t xml:space="preserve">This research was conducted in partnership with the CRD to contribute to their pursuit of characterizing the Leech Water Supply Area, while contributing to our understanding of</w:t>
      </w:r>
      <w:r>
        <w:t xml:space="preserve"> </w:t>
      </w:r>
      <w:r>
        <w:t xml:space="preserve">“</w:t>
      </w:r>
      <w:r>
        <w:t xml:space="preserve">natural</w:t>
      </w:r>
      <w:r>
        <w:t xml:space="preserve">”</w:t>
      </w:r>
      <w:r>
        <w:t xml:space="preserve"> </w:t>
      </w:r>
      <w:r>
        <w:t xml:space="preserve">variations in source water quality (primarily with respect to DOM and DOC) across nested catchments in a second growth forested watershed. The objectives of this research were to quantify spatial and temporal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pPr>
        <w:pStyle w:val="Heading2"/>
      </w:pPr>
      <w:bookmarkStart w:id="33" w:name="methods"/>
      <w:r>
        <w:t xml:space="preserve">Methods</w:t>
      </w:r>
      <w:bookmarkEnd w:id="33"/>
    </w:p>
    <w:p>
      <w:pPr>
        <w:pStyle w:val="Heading3"/>
      </w:pPr>
      <w:bookmarkStart w:id="34" w:name="study-site-leech-river-watershed"/>
      <w:r>
        <w:t xml:space="preserve">Study Site: Leech River Watershed</w:t>
      </w:r>
      <w:bookmarkEnd w:id="34"/>
    </w:p>
    <w:p>
      <w:pPr>
        <w:pStyle w:val="FirstParagraph"/>
      </w:pPr>
      <w:r>
        <w:t xml:space="preserve">The Leech River watershed is a sub-catchment of the Sooke River watershed, located west of Sooke Reservoir (primary water supply for the Greater Victoria Area).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Figure</w:t>
      </w:r>
      <w:r>
        <w:t xml:space="preserve"> </w:t>
      </w:r>
      <w:r>
        <w:t xml:space="preserve">1</w:t>
      </w:r>
      <w:r>
        <w:t xml:space="preserve"> </w:t>
      </w:r>
      <w:r>
        <w:t xml:space="preserve">shows the Leech and Sooke Water Supply areas in context to their location on Vancouver Island, BC, Canada.</w:t>
      </w:r>
    </w:p>
    <w:p>
      <w:pPr>
        <w:pStyle w:val="BodyText"/>
      </w:pPr>
      <w:r>
        <w:t xml:space="preserve"> </w:t>
      </w:r>
    </w:p>
    <w:p>
      <w:pPr>
        <w:pStyle w:val="BodyText"/>
      </w:pPr>
      <w:r>
        <w:rPr>
          <w:i/>
        </w:rPr>
        <w:t xml:space="preserve">Note on geospatial data, tools and mapping</w:t>
      </w:r>
    </w:p>
    <w:p>
      <w:pPr>
        <w:pStyle w:val="BodyText"/>
      </w:pPr>
      <w:r>
        <w:t xml:space="preserve">Geospatial data were collected from GeoGratis, the Government of Canada Geospatial Data Extraction tool (geogratis.gc.ca) with supplemental data provided by the CRD.</w:t>
      </w:r>
      <w:r>
        <w:rPr>
          <w:rStyle w:val="FootnoteReference"/>
        </w:rPr>
        <w:footnoteReference w:id="35"/>
      </w:r>
    </w:p>
    <w:p>
      <w:pPr>
        <w:pStyle w:val="BodyText"/>
      </w:pPr>
      <w:r>
        <w:t xml:space="preserve">Maps were created using QGIS (version 3.12.1, Bucuresti; www.qgis.org), and catchment boundaries were delineated using the QGIS GRASS plugin (GRASS GIS 7, version 2).</w:t>
      </w:r>
    </w:p>
    <w:p>
      <w:pPr>
        <w:pStyle w:val="CaptionedFigure"/>
      </w:pPr>
      <w:r>
        <w:drawing>
          <wp:inline>
            <wp:extent cx="5943600" cy="6281721"/>
            <wp:effectExtent b="0" l="0" r="0" t="0"/>
            <wp:docPr descr="Figure 1: Overview of the Leech and Sooke Water Supply Areas (Greater Victoria, CRD), located on southeastern Vancouver Island, British Columbia, Canada. Bottom image of Canada and inset of Vancouver Island were screenshots from the app ‘Windy’ (Prague, Czechia, EU); top map of the water supply areas was generated in QGIS (version 3.12.1 - Bucuresti)"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6"/>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w:t>
      </w:r>
      <w:r>
        <w:t xml:space="preserve"> </w:t>
      </w:r>
      <w:r>
        <w:rPr>
          <w:i/>
        </w:rPr>
        <w:t xml:space="preserve">Overview of the Leech and Sooke Water Supply Areas (Greater Victoria, CRD), located on southeastern Vancouver Island, British Columbia, Canada. Bottom image of Canada and inset of Vancouver Island were screenshots from the app</w:t>
      </w:r>
      <w:r>
        <w:rPr>
          <w:i/>
        </w:rPr>
        <w:t xml:space="preserve"> </w:t>
      </w:r>
      <w:r>
        <w:rPr>
          <w:i/>
        </w:rPr>
        <w:t xml:space="preserve">‘</w:t>
      </w:r>
      <w:r>
        <w:rPr>
          <w:i/>
        </w:rPr>
        <w:t xml:space="preserve">Windy</w:t>
      </w:r>
      <w:r>
        <w:rPr>
          <w:i/>
        </w:rPr>
        <w:t xml:space="preserve">’</w:t>
      </w:r>
      <w:r>
        <w:rPr>
          <w:i/>
        </w:rPr>
        <w:t xml:space="preserve"> </w:t>
      </w:r>
      <w:r>
        <w:rPr>
          <w:i/>
        </w:rPr>
        <w:t xml:space="preserve">(Prague, Czechia, EU); top map of the water supply areas was generated in QGIS (version 3.12.1 - Bucuresti)</w:t>
      </w:r>
    </w:p>
    <w:p>
      <w:pPr>
        <w:pStyle w:val="BodyText"/>
      </w:pPr>
      <w:r>
        <w:t xml:space="preserve"> </w:t>
      </w:r>
    </w:p>
    <w:p>
      <w:pPr>
        <w:pStyle w:val="BodyText"/>
      </w:pPr>
      <w:r>
        <w:t xml:space="preserve">While monitoring programs began in 2017, the hydrology and water quality in the LWSA are poorly understood. The Leech River watershed includes three mainstem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pPr>
        <w:pStyle w:val="Heading4"/>
      </w:pPr>
      <w:bookmarkStart w:id="37" w:name="climate-weather-forests"/>
      <w:r>
        <w:t xml:space="preserve">Climate, Weather, Forests</w:t>
      </w:r>
      <w:bookmarkEnd w:id="37"/>
    </w:p>
    <w:p>
      <w:pPr>
        <w:pStyle w:val="FirstParagraph"/>
      </w:pPr>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majority of the ~2500 mm per year is rain (i.e., pluvial hydroclimatic regime). The water year can be broadly divided into wet and dry seasons where approximately 90% of precipitation falls from October to April, and May through September are relatively dry.</w:t>
      </w:r>
    </w:p>
    <w:p>
      <w:pPr>
        <w:pStyle w:val="BodyText"/>
      </w:pPr>
      <w:r>
        <w:t xml:space="preserve"> </w:t>
      </w:r>
    </w:p>
    <w:p>
      <w:pPr>
        <w:pStyle w:val="BodyText"/>
      </w:pPr>
      <w:r>
        <w:t xml:space="preserve">There are two weather stations which operated during the study period: Chris Creek station is located in the headwaters of the LWSA and Martin’s Gulch station is located near the future diversion point (Tunnel). The CRD provided weather station data from Chris Creek and Martin’s Gulch weather stations from January 2018 to March 2020. Rainfall and air temperature from each of the two LWSA weather stations is shown in Figure</w:t>
      </w:r>
      <w:r>
        <w:t xml:space="preserve"> </w:t>
      </w:r>
      <w:r>
        <w:t xml:space="preserve">2</w:t>
      </w:r>
      <w:r>
        <w:t xml:space="preserve">. Slightly more precipitation was recorded at Martin’s Gulch than Chris Creek station. Annual weather data from each of the LWSA weather stations are summarized in Table</w:t>
      </w:r>
      <w:r>
        <w:t xml:space="preserve"> </w:t>
      </w:r>
      <w:r>
        <w:t xml:space="preserve">1</w:t>
      </w:r>
      <w:r>
        <w:t xml:space="preserve">.</w:t>
      </w:r>
    </w:p>
    <w:p>
      <w:pPr>
        <w:pStyle w:val="BodyText"/>
      </w:pPr>
      <w:r>
        <w:t xml:space="preserve"> </w:t>
      </w:r>
    </w:p>
    <w:p>
      <w:pPr>
        <w:pStyle w:val="CaptionedFigure"/>
      </w:pPr>
      <w:r>
        <w:drawing>
          <wp:inline>
            <wp:extent cx="5504749" cy="4587290"/>
            <wp:effectExtent b="0" l="0" r="0" t="0"/>
            <wp:docPr descr="Figure 2:  Weather from two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38"/>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rPr>
          <w:i/>
        </w:rPr>
        <w:t xml:space="preserve">Weather from two stations in the Leech water supply area. Coloured sections of plots highlight the field study period of this project.</w:t>
      </w:r>
    </w:p>
    <w:p>
      <w:pPr>
        <w:pStyle w:val="BodyText"/>
      </w:pPr>
      <w:r>
        <w:t xml:space="preserve"> </w:t>
      </w:r>
    </w:p>
    <w:p>
      <w:pPr>
        <w:pStyle w:val="TableCaption"/>
      </w:pPr>
      <w:r>
        <w:t xml:space="preserve">Table 1:</w:t>
      </w:r>
      <w:r>
        <w:t xml:space="preserve"> </w:t>
      </w:r>
      <w:r>
        <w:rPr>
          <w:i/>
        </w:rPr>
        <w:t xml:space="preserve">Two years of weather from CRD stations in Leech water supply area</w:t>
      </w:r>
    </w:p>
    <w:tbl>
      <w:tblPr>
        <w:tblStyle w:val="Table"/>
        <w:tblW w:type="pct" w:w="0.0"/>
        <w:tblLook w:firstRow="1"/>
        <w:tblCaption w:val="Table 1: Two years of weather from CRD stations in Leech water supply area"/>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1967.83</w:t>
            </w:r>
          </w:p>
        </w:tc>
        <w:tc>
          <w:p>
            <w:pPr>
              <w:pStyle w:val="Compact"/>
              <w:jc w:val="right"/>
            </w:pPr>
            <w:r>
              <w:t xml:space="preserve">3.09</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2042.35</w:t>
            </w:r>
          </w:p>
        </w:tc>
        <w:tc>
          <w:p>
            <w:pPr>
              <w:pStyle w:val="Compact"/>
              <w:jc w:val="right"/>
            </w:pPr>
            <w:r>
              <w:t xml:space="preserve">3.01</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1428.37</w:t>
            </w:r>
          </w:p>
        </w:tc>
        <w:tc>
          <w:p>
            <w:pPr>
              <w:pStyle w:val="Compact"/>
              <w:jc w:val="right"/>
            </w:pPr>
            <w:r>
              <w:t xml:space="preserve">3.09</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1486.66</w:t>
            </w:r>
          </w:p>
        </w:tc>
        <w:tc>
          <w:p>
            <w:pPr>
              <w:pStyle w:val="Compact"/>
              <w:jc w:val="right"/>
            </w:pPr>
            <w:r>
              <w:t xml:space="preserve">3.01</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837.25</w:t>
            </w:r>
          </w:p>
        </w:tc>
        <w:tc>
          <w:p>
            <w:pPr>
              <w:pStyle w:val="Compact"/>
              <w:jc w:val="right"/>
            </w:pPr>
            <w:r>
              <w:t xml:space="preserve">3.09</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930.37</w:t>
            </w:r>
          </w:p>
        </w:tc>
        <w:tc>
          <w:p>
            <w:pPr>
              <w:pStyle w:val="Compact"/>
              <w:jc w:val="right"/>
            </w:pPr>
            <w:r>
              <w:t xml:space="preserve">3.01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p>
    <w:p>
      <w:pPr>
        <w:pStyle w:val="Heading3"/>
      </w:pPr>
      <w:bookmarkStart w:id="39" w:name="river-sampling"/>
      <w:r>
        <w:t xml:space="preserve">River sampling</w:t>
      </w:r>
      <w:bookmarkEnd w:id="39"/>
    </w:p>
    <w:p>
      <w:pPr>
        <w:pStyle w:val="FirstParagraph"/>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 From November 2018 to February 2020, 446 total samples (Table</w:t>
      </w:r>
      <w:r>
        <w:t xml:space="preserve"> </w:t>
      </w:r>
      <w:r>
        <w:t xml:space="preserve">2</w:t>
      </w:r>
      <w:r>
        <w:t xml:space="preserve">) were collected and analyzed at UBC for DOC concentration and DOM character via high temperature combustion and UV-Vis spectroscopy (respectively). In addition, two sets of replicate samples from four sites were sent to forWater partners at the University of Waterloo for source water analyses of drinking water treatability metrics; and an additional 42 samples were collected on behalf of the CRD for analysis of a suite of total metals at an external laboratory.</w:t>
      </w:r>
    </w:p>
    <w:p>
      <w:pPr>
        <w:pStyle w:val="BodyText"/>
      </w:pPr>
      <w:r>
        <w:t xml:space="preserve"> </w:t>
      </w:r>
    </w:p>
    <w:p>
      <w:pPr>
        <w:pStyle w:val="TableCaption"/>
      </w:pPr>
      <w:r>
        <w:t xml:space="preserve">Table 2:</w:t>
      </w:r>
      <w:r>
        <w:t xml:space="preserve"> </w:t>
      </w:r>
      <w:r>
        <w:rPr>
          <w:i/>
        </w:rPr>
        <w:t xml:space="preserve">Summary of samples collected</w:t>
      </w:r>
    </w:p>
    <w:tbl>
      <w:tblPr>
        <w:tblStyle w:val="Table"/>
        <w:tblW w:type="pct" w:w="0.0"/>
        <w:tblLook w:firstRow="1"/>
        <w:tblCaption w:val="Table 2: Summary of samples collected"/>
      </w:tblPr>
      <w:tblGrid/>
      <w:tr>
        <w:trPr>
          <w:cnfStyle w:firstRow="1"/>
        </w:trPr>
        <w:tc>
          <w:tcPr>
            <w:tcBorders>
              <w:bottom w:val="single"/>
            </w:tcBorders>
            <w:vAlign w:val="bottom"/>
          </w:tcPr>
          <w:p>
            <w:pPr>
              <w:pStyle w:val="Compact"/>
              <w:jc w:val="left"/>
            </w:pPr>
            <w:r>
              <w:t xml:space="preserve">sample category</w:t>
            </w:r>
          </w:p>
        </w:tc>
        <w:tc>
          <w:tcPr>
            <w:tcBorders>
              <w:bottom w:val="single"/>
            </w:tcBorders>
            <w:vAlign w:val="bottom"/>
          </w:tcPr>
          <w:p>
            <w:pPr>
              <w:pStyle w:val="Compact"/>
              <w:jc w:val="right"/>
            </w:pPr>
            <w:r>
              <w:t xml:space="preserve">count</w:t>
            </w:r>
          </w:p>
        </w:tc>
      </w:tr>
      <w:tr>
        <w:tc>
          <w:p>
            <w:pPr>
              <w:pStyle w:val="Compact"/>
              <w:jc w:val="left"/>
            </w:pPr>
            <w:r>
              <w:t xml:space="preserve">synoptic samples outside of subbasin sites</w:t>
            </w:r>
          </w:p>
        </w:tc>
        <w:tc>
          <w:p>
            <w:pPr>
              <w:pStyle w:val="Compact"/>
              <w:jc w:val="right"/>
            </w:pPr>
            <w:r>
              <w:t xml:space="preserve">64</w:t>
            </w:r>
          </w:p>
        </w:tc>
      </w:tr>
      <w:tr>
        <w:tc>
          <w:p>
            <w:pPr>
              <w:pStyle w:val="Compact"/>
              <w:jc w:val="left"/>
            </w:pPr>
            <w:r>
              <w:t xml:space="preserve">opportunistic grab samples</w:t>
            </w:r>
          </w:p>
        </w:tc>
        <w:tc>
          <w:p>
            <w:pPr>
              <w:pStyle w:val="Compact"/>
              <w:jc w:val="right"/>
            </w:pPr>
            <w:r>
              <w:t xml:space="preserve">14</w:t>
            </w:r>
          </w:p>
        </w:tc>
      </w:tr>
      <w:tr>
        <w:tc>
          <w:p>
            <w:pPr>
              <w:pStyle w:val="Compact"/>
              <w:jc w:val="left"/>
            </w:pPr>
            <w:r>
              <w:t xml:space="preserve">sub-basin synoptic grab samples</w:t>
            </w:r>
          </w:p>
        </w:tc>
        <w:tc>
          <w:p>
            <w:pPr>
              <w:pStyle w:val="Compact"/>
              <w:jc w:val="right"/>
            </w:pPr>
            <w:r>
              <w:t xml:space="preserve">165</w:t>
            </w:r>
          </w:p>
        </w:tc>
      </w:tr>
      <w:tr>
        <w:tc>
          <w:p>
            <w:pPr>
              <w:pStyle w:val="Compact"/>
              <w:jc w:val="left"/>
            </w:pPr>
            <w:r>
              <w:t xml:space="preserve">sub-basin rack samples</w:t>
            </w:r>
          </w:p>
        </w:tc>
        <w:tc>
          <w:p>
            <w:pPr>
              <w:pStyle w:val="Compact"/>
              <w:jc w:val="right"/>
            </w:pPr>
            <w:r>
              <w:t xml:space="preserve">203</w:t>
            </w:r>
          </w:p>
        </w:tc>
      </w:tr>
      <w:tr>
        <w:tc>
          <w:p>
            <w:pPr>
              <w:pStyle w:val="Compact"/>
              <w:jc w:val="left"/>
            </w:pPr>
            <w:r>
              <w:t xml:space="preserve">total</w:t>
            </w:r>
          </w:p>
        </w:tc>
        <w:tc>
          <w:p>
            <w:pPr>
              <w:pStyle w:val="Compact"/>
              <w:jc w:val="right"/>
            </w:pPr>
            <w:r>
              <w:t xml:space="preserve">446</w:t>
            </w:r>
          </w:p>
        </w:tc>
      </w:tr>
    </w:tbl>
    <w:p>
      <w:pPr>
        <w:pStyle w:val="BodyText"/>
      </w:pPr>
      <w:r>
        <w:t xml:space="preserve"> </w:t>
      </w:r>
    </w:p>
    <w:p>
      <w:pPr>
        <w:pStyle w:val="Heading4"/>
      </w:pPr>
      <w:bookmarkStart w:id="40" w:name="synoptic-sampling"/>
      <w:r>
        <w:t xml:space="preserve">Synoptic sampling</w:t>
      </w:r>
      <w:bookmarkEnd w:id="40"/>
    </w:p>
    <w:p>
      <w:pPr>
        <w:pStyle w:val="CaptionedFigure"/>
      </w:pPr>
      <w:r>
        <w:drawing>
          <wp:inline>
            <wp:extent cx="5943600" cy="4153212"/>
            <wp:effectExtent b="0" l="0" r="0" t="0"/>
            <wp:docPr descr="Figure 3:  Synoptic sampling sites across the Greater Victoria Water Supply Areas (made with QGIS, version 3.12.1 - Bucuresti)." title="" id="1" name="Picture"/>
            <a:graphic>
              <a:graphicData uri="http://schemas.openxmlformats.org/drawingml/2006/picture">
                <pic:pic>
                  <pic:nvPicPr>
                    <pic:cNvPr descr="R-inputs_UBC-forWater-MSc_HMc/images/thesis_map_synoptic-sampling.png" id="0" name="Picture"/>
                    <pic:cNvPicPr>
                      <a:picLocks noChangeArrowheads="1" noChangeAspect="1"/>
                    </pic:cNvPicPr>
                  </pic:nvPicPr>
                  <pic:blipFill>
                    <a:blip r:embed="rId41"/>
                    <a:stretch>
                      <a:fillRect/>
                    </a:stretch>
                  </pic:blipFill>
                  <pic:spPr bwMode="auto">
                    <a:xfrm>
                      <a:off x="0" y="0"/>
                      <a:ext cx="5943600" cy="4153212"/>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rPr>
          <w:i/>
        </w:rPr>
        <w:t xml:space="preserve">Synoptic sampling sites across the Greater Victoria Water Supply Areas (made with QGIS, version 3.12.1 - Bucuresti).</w:t>
      </w:r>
    </w:p>
    <w:p>
      <w:pPr>
        <w:pStyle w:val="BodyText"/>
      </w:pPr>
      <w:r>
        <w:t xml:space="preserve"> </w:t>
      </w:r>
    </w:p>
    <w:p>
      <w:pPr>
        <w:pStyle w:val="BodyText"/>
      </w:pPr>
      <w:r>
        <w:t xml:space="preserve">Thirteen sites were selected for synoptic water sampling and water quality analysis. Results from synoptic sampling helped to inform spatiotemporal patterns in water quality. Synoptic samples were collected bi-weekly to monthly from October 2018 to February 2020; a total of 206 unique synoptic samples were collected (229 including replicates). Figure</w:t>
      </w:r>
      <w:r>
        <w:t xml:space="preserve"> </w:t>
      </w:r>
      <w:r>
        <w:t xml:space="preserve">3</w:t>
      </w:r>
      <w:r>
        <w:t xml:space="preserve"> </w:t>
      </w:r>
      <w:r>
        <w:t xml:space="preserve">shows the locations of the synoptically sampled sites. Grab sampling at these sites involved collecting river samples in triple-rinsed acid-washed 250mL amber HDPE bottles. Samples were capped with minimal headspace and transported on in a cooler (on ice) to the lab for analysis.</w:t>
      </w:r>
    </w:p>
    <w:p>
      <w:pPr>
        <w:pStyle w:val="Heading4"/>
      </w:pPr>
      <w:bookmarkStart w:id="42" w:name="MethodsNestedCatch"/>
      <w:r>
        <w:t xml:space="preserve">Sampling across nested catchments of the Leech watershed</w:t>
      </w:r>
      <w:bookmarkEnd w:id="42"/>
    </w:p>
    <w:p>
      <w:pPr>
        <w:pStyle w:val="FirstParagraph"/>
      </w:pPr>
      <w:r>
        <w:t xml:space="preserve">Across the Leech Water Supply Area (LWSA), six of the synoptic sampling sites were selected for more intensive monitoring. These sites represented the LWSA drainage basin defined from the the point of (future) diversion, the Leech Tunnel, and five sub-basins nested within the Leech Tunnel catchment. Figure</w:t>
      </w:r>
      <w:r>
        <w:t xml:space="preserve"> </w:t>
      </w:r>
      <w:r>
        <w:t xml:space="preserve">4</w:t>
      </w:r>
      <w:r>
        <w:t xml:space="preserve"> </w:t>
      </w:r>
      <w:r>
        <w:t xml:space="preserve">shows a map of the six monitoring sites which represent important portions of the Leech River system: two headwater streams (Weeks and Chris Creek), the head of Leech River (below the confluence of the two headwater streams), two mainstem rivers that feed the Leech (Cragg Creek and West Leech) and the Leech River at the Tunnel.</w:t>
      </w:r>
    </w:p>
    <w:p>
      <w:pPr>
        <w:pStyle w:val="BodyText"/>
      </w:pPr>
      <w:r>
        <w:t xml:space="preserve"> </w:t>
      </w:r>
    </w:p>
    <w:p>
      <w:pPr>
        <w:pStyle w:val="CaptionedFigure"/>
      </w:pPr>
      <w:r>
        <w:drawing>
          <wp:inline>
            <wp:extent cx="5943600" cy="5976414"/>
            <wp:effectExtent b="0" l="0" r="0" t="0"/>
            <wp:docPr descr="Figure 4:  Research sites in the Leech Water Supply Area. Sites are named and numbered, where the number indicates the sequence of vertical rack installations as well as the relative progression from headwaters to the mouth (Tunnel site). Each research basin (outlined by a thin black line) was delineated using the sampling site as the outlet (made with QGIS, version 3.12.1 - Bucuresti)."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43"/>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rPr>
          <w:i/>
        </w:rPr>
        <w:t xml:space="preserve">Research sites in the Leech Water Supply Area. Sites are named and numbered, where the number indicates the sequence of vertical rack installations as well as the relative progression from headwaters to the mouth (Tunnel site). Each research basin (outlined by a thin black line) was delineated using the sampling site as the outlet (made with QGIS, version 3.12.1 - Bucuresti).</w:t>
      </w:r>
    </w:p>
    <w:p>
      <w:pPr>
        <w:pStyle w:val="BodyText"/>
      </w:pPr>
      <w:r>
        <w:t xml:space="preserve"> </w:t>
      </w:r>
    </w:p>
    <w:p>
      <w:pPr>
        <w:pStyle w:val="BodyText"/>
      </w:pPr>
      <w:r>
        <w:t xml:space="preserve">Table</w:t>
      </w:r>
      <w:r>
        <w:t xml:space="preserve"> </w:t>
      </w:r>
      <w:r>
        <w:t xml:space="preserve">3</w:t>
      </w:r>
      <w:r>
        <w:t xml:space="preserve"> </w:t>
      </w:r>
      <w:r>
        <w:t xml:space="preserve">includes watershed characteristic data for each sub-basin. Weeks creek (site-1), had the greatest proportion of wetland and open water compared to the other sub-basins. ChrisCrk (site-2) and CraggCrk (site-4) had no metasedimentary parent material (Argillite-Metagraywacke or Metagraywacke), and CraggCrk was the only sub-basin with predominantly metamorphic parent material (Wark-Gneiss, 78%). The sub-basin of WestLeech (site-5) was the site that did not have Wark-Gneiss nor Chert-Argillite-Volcanic groups as parent materials, and was the only sub-basin of the Metchosin igneous complex (16% Methchosin-volcanics). Like Weeks basin (site-1), which also drains from the West, WestLeech is predominantly underlain by Argillite-Metagreywacke (metasedimentary).</w:t>
      </w:r>
    </w:p>
    <w:p>
      <w:pPr>
        <w:pStyle w:val="BodyText"/>
      </w:pPr>
      <w:r>
        <w:t xml:space="preserve"> </w:t>
      </w:r>
    </w:p>
    <w:p>
      <w:pPr>
        <w:pStyle w:val="TableCaption"/>
      </w:pPr>
      <w:r>
        <w:t xml:space="preserve">Table 3:</w:t>
      </w:r>
      <w:r>
        <w:t xml:space="preserve"> </w:t>
      </w:r>
      <w:r>
        <w:rPr>
          <w:i/>
        </w:rPr>
        <w:t xml:space="preserve">Watershed characteristics summary for study sites</w:t>
      </w:r>
    </w:p>
    <w:tbl>
      <w:tblPr>
        <w:tblStyle w:val="Table"/>
        <w:tblW w:type="pct" w:w="0.0"/>
        <w:tblLook w:firstRow="1"/>
        <w:tblCaption w:val="Table 3: Watershed characteristics summary for study sites"/>
      </w:tblPr>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r>
      <w:tr>
        <w:tc>
          <w:p>
            <w:pPr>
              <w:pStyle w:val="Compact"/>
              <w:jc w:val="left"/>
            </w:pPr>
            <w:r>
              <w:t xml:space="preserve">Site name</w:t>
            </w:r>
          </w:p>
        </w:tc>
        <w:tc>
          <w:p>
            <w:pPr>
              <w:pStyle w:val="Compact"/>
              <w:jc w:val="left"/>
            </w:pPr>
            <w:r>
              <w:t xml:space="preserve">Weeks Main Creek</w:t>
            </w:r>
          </w:p>
        </w:tc>
        <w:tc>
          <w:p>
            <w:pPr>
              <w:pStyle w:val="Compact"/>
              <w:jc w:val="left"/>
            </w:pPr>
            <w:r>
              <w:t xml:space="preserve">Chris Creek</w:t>
            </w:r>
          </w:p>
        </w:tc>
        <w:tc>
          <w:p>
            <w:pPr>
              <w:pStyle w:val="Compact"/>
              <w:jc w:val="left"/>
            </w:pPr>
            <w:r>
              <w:t xml:space="preserve">Leech River Head</w:t>
            </w:r>
          </w:p>
        </w:tc>
        <w:tc>
          <w:p>
            <w:pPr>
              <w:pStyle w:val="Compact"/>
              <w:jc w:val="left"/>
            </w:pPr>
            <w:r>
              <w:t xml:space="preserve">Cragg Creek</w:t>
            </w:r>
          </w:p>
        </w:tc>
        <w:tc>
          <w:p>
            <w:pPr>
              <w:pStyle w:val="Compact"/>
              <w:jc w:val="left"/>
            </w:pPr>
            <w:r>
              <w:t xml:space="preserve">West Leech River</w:t>
            </w:r>
          </w:p>
        </w:tc>
        <w:tc>
          <w:p>
            <w:pPr>
              <w:pStyle w:val="Compact"/>
              <w:jc w:val="left"/>
            </w:pPr>
            <w:r>
              <w:t xml:space="preserve">Leech River Tunnel</w:t>
            </w:r>
          </w:p>
        </w:tc>
      </w:tr>
      <w:tr>
        <w:tc>
          <w:p>
            <w:pPr>
              <w:pStyle w:val="Compact"/>
              <w:jc w:val="left"/>
            </w:pPr>
            <w:r>
              <w:t xml:space="preserve">Short-hand name (used throughout report)</w:t>
            </w:r>
          </w:p>
        </w:tc>
        <w:tc>
          <w:p>
            <w:pPr>
              <w:pStyle w:val="Compact"/>
              <w:jc w:val="left"/>
            </w:pPr>
            <w:r>
              <w:t xml:space="preserve">Weeks</w:t>
            </w:r>
          </w:p>
        </w:tc>
        <w:tc>
          <w:p>
            <w:pPr>
              <w:pStyle w:val="Compact"/>
              <w:jc w:val="left"/>
            </w:pPr>
            <w:r>
              <w:t xml:space="preserve">ChrisCrk</w:t>
            </w:r>
          </w:p>
        </w:tc>
        <w:tc>
          <w:p>
            <w:pPr>
              <w:pStyle w:val="Compact"/>
              <w:jc w:val="left"/>
            </w:pPr>
            <w:r>
              <w:t xml:space="preserve">LeechHead</w:t>
            </w:r>
          </w:p>
        </w:tc>
        <w:tc>
          <w:p>
            <w:pPr>
              <w:pStyle w:val="Compact"/>
              <w:jc w:val="left"/>
            </w:pPr>
            <w:r>
              <w:t xml:space="preserve">CraggCrk</w:t>
            </w:r>
          </w:p>
        </w:tc>
        <w:tc>
          <w:p>
            <w:pPr>
              <w:pStyle w:val="Compact"/>
              <w:jc w:val="left"/>
            </w:pPr>
            <w:r>
              <w:t xml:space="preserve">WestLeech</w:t>
            </w:r>
          </w:p>
        </w:tc>
        <w:tc>
          <w:p>
            <w:pPr>
              <w:pStyle w:val="Compact"/>
              <w:jc w:val="left"/>
            </w:pPr>
            <w:r>
              <w:t xml:space="preserve">Tunnel</w:t>
            </w:r>
          </w:p>
        </w:tc>
      </w:tr>
      <w:tr>
        <w:tc>
          <w:p>
            <w:pPr>
              <w:pStyle w:val="Compact"/>
              <w:jc w:val="left"/>
            </w:pPr>
            <w:r>
              <w:t xml:space="preserve">Latitude</w:t>
            </w:r>
          </w:p>
        </w:tc>
        <w:tc>
          <w:p>
            <w:pPr>
              <w:pStyle w:val="Compact"/>
              <w:jc w:val="left"/>
            </w:pPr>
            <w:r>
              <w:t xml:space="preserve">48.5757</w:t>
            </w:r>
          </w:p>
        </w:tc>
        <w:tc>
          <w:p>
            <w:pPr>
              <w:pStyle w:val="Compact"/>
              <w:jc w:val="left"/>
            </w:pPr>
            <w:r>
              <w:t xml:space="preserve">48.5774</w:t>
            </w:r>
          </w:p>
        </w:tc>
        <w:tc>
          <w:p>
            <w:pPr>
              <w:pStyle w:val="Compact"/>
              <w:jc w:val="left"/>
            </w:pPr>
            <w:r>
              <w:t xml:space="preserve">48.5665</w:t>
            </w:r>
          </w:p>
        </w:tc>
        <w:tc>
          <w:p>
            <w:pPr>
              <w:pStyle w:val="Compact"/>
              <w:jc w:val="left"/>
            </w:pPr>
            <w:r>
              <w:t xml:space="preserve">48.5478</w:t>
            </w:r>
          </w:p>
        </w:tc>
        <w:tc>
          <w:p>
            <w:pPr>
              <w:pStyle w:val="Compact"/>
              <w:jc w:val="left"/>
            </w:pPr>
            <w:r>
              <w:t xml:space="preserve">48.5069</w:t>
            </w:r>
          </w:p>
        </w:tc>
        <w:tc>
          <w:p>
            <w:pPr>
              <w:pStyle w:val="Compact"/>
              <w:jc w:val="left"/>
            </w:pPr>
            <w:r>
              <w:t xml:space="preserve">48.5070</w:t>
            </w:r>
          </w:p>
        </w:tc>
      </w:tr>
      <w:tr>
        <w:tc>
          <w:p>
            <w:pPr>
              <w:pStyle w:val="Compact"/>
              <w:jc w:val="left"/>
            </w:pPr>
            <w:r>
              <w:t xml:space="preserve">Longitude</w:t>
            </w:r>
          </w:p>
        </w:tc>
        <w:tc>
          <w:p>
            <w:pPr>
              <w:pStyle w:val="Compact"/>
              <w:jc w:val="left"/>
            </w:pPr>
            <w:r>
              <w:t xml:space="preserve">-123.8456</w:t>
            </w:r>
          </w:p>
        </w:tc>
        <w:tc>
          <w:p>
            <w:pPr>
              <w:pStyle w:val="Compact"/>
              <w:jc w:val="left"/>
            </w:pPr>
            <w:r>
              <w:t xml:space="preserve">-123.8403</w:t>
            </w:r>
          </w:p>
        </w:tc>
        <w:tc>
          <w:p>
            <w:pPr>
              <w:pStyle w:val="Compact"/>
              <w:jc w:val="left"/>
            </w:pPr>
            <w:r>
              <w:t xml:space="preserve">-123.8257</w:t>
            </w:r>
          </w:p>
        </w:tc>
        <w:tc>
          <w:p>
            <w:pPr>
              <w:pStyle w:val="Compact"/>
              <w:jc w:val="left"/>
            </w:pPr>
            <w:r>
              <w:t xml:space="preserve">-123.7711</w:t>
            </w:r>
          </w:p>
        </w:tc>
        <w:tc>
          <w:p>
            <w:pPr>
              <w:pStyle w:val="Compact"/>
              <w:jc w:val="left"/>
            </w:pPr>
            <w:r>
              <w:t xml:space="preserve">-123.7847</w:t>
            </w:r>
          </w:p>
        </w:tc>
        <w:tc>
          <w:p>
            <w:pPr>
              <w:pStyle w:val="Compact"/>
              <w:jc w:val="left"/>
            </w:pPr>
            <w:r>
              <w:t xml:space="preserve">-123.7674</w:t>
            </w:r>
          </w:p>
        </w:tc>
      </w:tr>
      <w:tr>
        <w:tc>
          <w:p>
            <w:pPr>
              <w:pStyle w:val="Compact"/>
              <w:jc w:val="left"/>
            </w:pPr>
            <w:r>
              <w:t xml:space="preserve">Elevation (m a.s.l) at installation</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Sub-basin Class</w:t>
            </w:r>
          </w:p>
        </w:tc>
        <w:tc>
          <w:p>
            <w:pPr>
              <w:pStyle w:val="Compact"/>
              <w:jc w:val="left"/>
            </w:pPr>
            <w:r>
              <w:t xml:space="preserve">Headwater</w:t>
            </w:r>
          </w:p>
        </w:tc>
        <w:tc>
          <w:p>
            <w:pPr>
              <w:pStyle w:val="Compact"/>
              <w:jc w:val="left"/>
            </w:pPr>
            <w:r>
              <w:t xml:space="preserve">Headwater</w:t>
            </w:r>
          </w:p>
        </w:tc>
        <w:tc>
          <w:p>
            <w:pPr>
              <w:pStyle w:val="Compact"/>
              <w:jc w:val="left"/>
            </w:pPr>
            <w:r>
              <w:t xml:space="preserve">Mainstem headwater</w:t>
            </w:r>
          </w:p>
        </w:tc>
        <w:tc>
          <w:p>
            <w:pPr>
              <w:pStyle w:val="Compact"/>
              <w:jc w:val="left"/>
            </w:pPr>
            <w:r>
              <w:t xml:space="preserve">Mainstem</w:t>
            </w:r>
          </w:p>
        </w:tc>
        <w:tc>
          <w:p>
            <w:pPr>
              <w:pStyle w:val="Compact"/>
              <w:jc w:val="left"/>
            </w:pPr>
            <w:r>
              <w:t xml:space="preserve">Mainstem</w:t>
            </w:r>
          </w:p>
        </w:tc>
        <w:tc>
          <w:p>
            <w:pPr>
              <w:pStyle w:val="Compact"/>
              <w:jc w:val="left"/>
            </w:pPr>
            <w:r>
              <w:t xml:space="preserve">Outlet</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Forest (%)</w:t>
            </w:r>
          </w:p>
        </w:tc>
        <w:tc>
          <w:p>
            <w:pPr>
              <w:pStyle w:val="Compact"/>
              <w:jc w:val="left"/>
            </w:pPr>
            <w:r>
              <w:t xml:space="preserve">94.5</w:t>
            </w:r>
          </w:p>
        </w:tc>
        <w:tc>
          <w:p>
            <w:pPr>
              <w:pStyle w:val="Compact"/>
              <w:jc w:val="left"/>
            </w:pPr>
            <w:r>
              <w:t xml:space="preserve">99.0</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Wetland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Open water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Average slope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Standard.dev. slope (degrees)</w:t>
            </w:r>
          </w:p>
        </w:tc>
        <w:tc>
          <w:p>
            <w:pPr>
              <w:pStyle w:val="Compact"/>
              <w:jc w:val="left"/>
            </w:pPr>
            <w:r>
              <w:t xml:space="preserve">7.0</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r>
      <w:tr>
        <w:tc>
          <w:p>
            <w:pPr>
              <w:pStyle w:val="Compact"/>
              <w:jc w:val="left"/>
            </w:pPr>
            <w:r>
              <w:t xml:space="preserve">Min. slope (degrees)</w:t>
            </w:r>
          </w:p>
        </w:tc>
        <w:tc>
          <w:p>
            <w:pPr>
              <w:pStyle w:val="Compact"/>
              <w:jc w:val="left"/>
            </w:pPr>
            <w:r>
              <w:t xml:space="preserve">8.0</w:t>
            </w:r>
          </w:p>
        </w:tc>
        <w:tc>
          <w:p>
            <w:pPr>
              <w:pStyle w:val="Compact"/>
              <w:jc w:val="left"/>
            </w:pPr>
            <w:r>
              <w:t xml:space="preserve">10.0</w:t>
            </w:r>
          </w:p>
        </w:tc>
        <w:tc>
          <w:p>
            <w:pPr>
              <w:pStyle w:val="Compact"/>
              <w:jc w:val="left"/>
            </w:pPr>
            <w:r>
              <w:t xml:space="preserve">9.0</w:t>
            </w:r>
          </w:p>
        </w:tc>
        <w:tc>
          <w:p>
            <w:pPr>
              <w:pStyle w:val="Compact"/>
              <w:jc w:val="left"/>
            </w:pPr>
            <w:r>
              <w:t xml:space="preserve">9.0</w:t>
            </w:r>
          </w:p>
        </w:tc>
        <w:tc>
          <w:p>
            <w:pPr>
              <w:pStyle w:val="Compact"/>
              <w:jc w:val="left"/>
            </w:pPr>
            <w:r>
              <w:t xml:space="preserve">9.0</w:t>
            </w:r>
          </w:p>
        </w:tc>
        <w:tc>
          <w:p>
            <w:pPr>
              <w:pStyle w:val="Compact"/>
              <w:jc w:val="left"/>
            </w:pPr>
            <w:r>
              <w:t xml:space="preserve">10.0</w:t>
            </w:r>
          </w:p>
        </w:tc>
      </w:tr>
      <w:tr>
        <w:tc>
          <w:p>
            <w:pPr>
              <w:pStyle w:val="Compact"/>
              <w:jc w:val="left"/>
            </w:pPr>
            <w:r>
              <w:t xml:space="preserve">Max. slope (degrees)</w:t>
            </w:r>
          </w:p>
        </w:tc>
        <w:tc>
          <w:p>
            <w:pPr>
              <w:pStyle w:val="Compact"/>
              <w:jc w:val="left"/>
            </w:pPr>
            <w:r>
              <w:t xml:space="preserve">44.0</w:t>
            </w:r>
          </w:p>
        </w:tc>
        <w:tc>
          <w:p>
            <w:pPr>
              <w:pStyle w:val="Compact"/>
              <w:jc w:val="left"/>
            </w:pPr>
            <w:r>
              <w:t xml:space="preserve">38.0</w:t>
            </w:r>
          </w:p>
        </w:tc>
        <w:tc>
          <w:p>
            <w:pPr>
              <w:pStyle w:val="Compact"/>
              <w:jc w:val="left"/>
            </w:pPr>
            <w:r>
              <w:t xml:space="preserve">50.0</w:t>
            </w:r>
          </w:p>
        </w:tc>
        <w:tc>
          <w:p>
            <w:pPr>
              <w:pStyle w:val="Compact"/>
              <w:jc w:val="left"/>
            </w:pPr>
            <w:r>
              <w:t xml:space="preserve">40.0</w:t>
            </w:r>
          </w:p>
        </w:tc>
        <w:tc>
          <w:p>
            <w:pPr>
              <w:pStyle w:val="Compact"/>
              <w:jc w:val="left"/>
            </w:pPr>
            <w:r>
              <w:t xml:space="preserve">56.0</w:t>
            </w:r>
          </w:p>
        </w:tc>
        <w:tc>
          <w:p>
            <w:pPr>
              <w:pStyle w:val="Compact"/>
              <w:jc w:val="left"/>
            </w:pPr>
            <w:r>
              <w:t xml:space="preserve">61.0</w:t>
            </w:r>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0.0</w:t>
            </w:r>
          </w:p>
        </w:tc>
        <w:tc>
          <w:p>
            <w:pPr>
              <w:pStyle w:val="Compact"/>
              <w:jc w:val="left"/>
            </w:pPr>
            <w:r>
              <w:t xml:space="preserve">30.6</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0.0</w:t>
            </w:r>
          </w:p>
        </w:tc>
        <w:tc>
          <w:p>
            <w:pPr>
              <w:pStyle w:val="Compact"/>
              <w:jc w:val="left"/>
            </w:pPr>
            <w:r>
              <w:t xml:space="preserve">42.1</w:t>
            </w:r>
          </w:p>
        </w:tc>
        <w:tc>
          <w:p>
            <w:pPr>
              <w:pStyle w:val="Compact"/>
              <w:jc w:val="left"/>
            </w:pPr>
            <w:r>
              <w:t xml:space="preserve">0.0</w:t>
            </w:r>
          </w:p>
        </w:tc>
        <w:tc>
          <w:p>
            <w:pPr>
              <w:pStyle w:val="Compact"/>
              <w:jc w:val="left"/>
            </w:pPr>
            <w:r>
              <w:t xml:space="preserve">76.8</w:t>
            </w:r>
          </w:p>
        </w:tc>
        <w:tc>
          <w:p>
            <w:pPr>
              <w:pStyle w:val="Compact"/>
              <w:jc w:val="left"/>
            </w:pPr>
            <w:r>
              <w:t xml:space="preserve">45.1</w:t>
            </w:r>
          </w:p>
        </w:tc>
      </w:tr>
      <w:tr>
        <w:tc>
          <w:p>
            <w:pPr>
              <w:pStyle w:val="Compact"/>
              <w:jc w:val="left"/>
            </w:pPr>
            <w:r>
              <w:t xml:space="preserve">Metagreywacke (%)</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7.2</w:t>
            </w:r>
          </w:p>
        </w:tc>
        <w:tc>
          <w:p>
            <w:pPr>
              <w:pStyle w:val="Compact"/>
              <w:jc w:val="left"/>
            </w:pPr>
            <w:r>
              <w:t xml:space="preserve">1.6</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0.0</w:t>
            </w:r>
          </w:p>
        </w:tc>
        <w:tc>
          <w:p>
            <w:pPr>
              <w:pStyle w:val="Compact"/>
              <w:jc w:val="left"/>
            </w:pPr>
            <w:r>
              <w:t xml:space="preserve">17.9</w:t>
            </w:r>
          </w:p>
        </w:tc>
      </w:tr>
      <w:tr>
        <w:tc>
          <w:p>
            <w:pPr>
              <w:pStyle w:val="Compact"/>
              <w:jc w:val="left"/>
            </w:pPr>
            <w:r>
              <w:t xml:space="preserve">Metchosin Volcanics (%)</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16.0</w:t>
            </w:r>
          </w:p>
        </w:tc>
        <w:tc>
          <w:p>
            <w:pPr>
              <w:pStyle w:val="Compact"/>
              <w:jc w:val="left"/>
            </w:pPr>
            <w:r>
              <w:t xml:space="preserve">4.2</w:t>
            </w:r>
          </w:p>
        </w:tc>
      </w:tr>
      <w:tr>
        <w:tc>
          <w:p>
            <w:pPr>
              <w:pStyle w:val="Compact"/>
              <w:jc w:val="left"/>
            </w:pPr>
            <w:r>
              <w:t xml:space="preserve">Gabbro Stocks (Sooke-Gabbro, %)</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0.7</w:t>
            </w:r>
          </w:p>
        </w:tc>
      </w:tr>
      <w:tr>
        <w:tc>
          <w:p>
            <w:pPr>
              <w:pStyle w:val="Compact"/>
              <w:jc w:val="left"/>
            </w:pPr>
            <w:r>
              <w:t xml:space="preserve">1980s forest harvest (%)</w:t>
            </w:r>
          </w:p>
        </w:tc>
        <w:tc>
          <w:p>
            <w:pPr>
              <w:pStyle w:val="Compact"/>
              <w:jc w:val="left"/>
            </w:pPr>
            <w:r>
              <w:t xml:space="preserve">11.2</w:t>
            </w:r>
          </w:p>
        </w:tc>
        <w:tc>
          <w:p>
            <w:pPr>
              <w:pStyle w:val="Compact"/>
              <w:jc w:val="left"/>
            </w:pPr>
            <w:r>
              <w:t xml:space="preserve">56.3</w:t>
            </w:r>
          </w:p>
        </w:tc>
        <w:tc>
          <w:p>
            <w:pPr>
              <w:pStyle w:val="Compact"/>
              <w:jc w:val="left"/>
            </w:pPr>
            <w:r>
              <w:t xml:space="preserve">28.6</w:t>
            </w:r>
          </w:p>
        </w:tc>
        <w:tc>
          <w:p>
            <w:pPr>
              <w:pStyle w:val="Compact"/>
              <w:jc w:val="left"/>
            </w:pPr>
            <w:r>
              <w:t xml:space="preserve">30.8</w:t>
            </w:r>
          </w:p>
        </w:tc>
        <w:tc>
          <w:p>
            <w:pPr>
              <w:pStyle w:val="Compact"/>
              <w:jc w:val="left"/>
            </w:pPr>
            <w:r>
              <w:t xml:space="preserve">21.6</w:t>
            </w:r>
          </w:p>
        </w:tc>
        <w:tc>
          <w:p>
            <w:pPr>
              <w:pStyle w:val="Compact"/>
              <w:jc w:val="left"/>
            </w:pPr>
            <w:r>
              <w:t xml:space="preserve">24.2</w:t>
            </w:r>
          </w:p>
        </w:tc>
      </w:tr>
      <w:tr>
        <w:tc>
          <w:p>
            <w:pPr>
              <w:pStyle w:val="Compact"/>
              <w:jc w:val="left"/>
            </w:pPr>
            <w:r>
              <w:t xml:space="preserve">1990s forest harvest (%)</w:t>
            </w:r>
          </w:p>
        </w:tc>
        <w:tc>
          <w:p>
            <w:pPr>
              <w:pStyle w:val="Compact"/>
              <w:jc w:val="left"/>
            </w:pPr>
            <w:r>
              <w:t xml:space="preserve">11.7</w:t>
            </w:r>
          </w:p>
        </w:tc>
        <w:tc>
          <w:p>
            <w:pPr>
              <w:pStyle w:val="Compact"/>
              <w:jc w:val="left"/>
            </w:pPr>
            <w:r>
              <w:t xml:space="preserve">3.0</w:t>
            </w:r>
          </w:p>
        </w:tc>
        <w:tc>
          <w:p>
            <w:pPr>
              <w:pStyle w:val="Compact"/>
              <w:jc w:val="left"/>
            </w:pPr>
            <w:r>
              <w:t xml:space="preserve">9.6</w:t>
            </w:r>
          </w:p>
        </w:tc>
        <w:tc>
          <w:p>
            <w:pPr>
              <w:pStyle w:val="Compact"/>
              <w:jc w:val="left"/>
            </w:pPr>
            <w:r>
              <w:t xml:space="preserve">8.7</w:t>
            </w:r>
          </w:p>
        </w:tc>
        <w:tc>
          <w:p>
            <w:pPr>
              <w:pStyle w:val="Compact"/>
              <w:jc w:val="left"/>
            </w:pPr>
            <w:r>
              <w:t xml:space="preserve">3.0</w:t>
            </w:r>
          </w:p>
        </w:tc>
        <w:tc>
          <w:p>
            <w:pPr>
              <w:pStyle w:val="Compact"/>
              <w:jc w:val="left"/>
            </w:pPr>
            <w:r>
              <w:t xml:space="preserve">5.9</w:t>
            </w:r>
          </w:p>
        </w:tc>
      </w:tr>
      <w:tr>
        <w:tc>
          <w:p>
            <w:pPr>
              <w:pStyle w:val="Compact"/>
              <w:jc w:val="left"/>
            </w:pPr>
            <w:r>
              <w:t xml:space="preserve">2000s forest harvest (%)</w:t>
            </w:r>
          </w:p>
        </w:tc>
        <w:tc>
          <w:p>
            <w:pPr>
              <w:pStyle w:val="Compact"/>
              <w:jc w:val="left"/>
            </w:pPr>
            <w:r>
              <w:t xml:space="preserve">4.5</w:t>
            </w:r>
          </w:p>
        </w:tc>
        <w:tc>
          <w:p>
            <w:pPr>
              <w:pStyle w:val="Compact"/>
              <w:jc w:val="left"/>
            </w:pPr>
            <w:r>
              <w:t xml:space="preserve">3.4</w:t>
            </w:r>
          </w:p>
        </w:tc>
        <w:tc>
          <w:p>
            <w:pPr>
              <w:pStyle w:val="Compact"/>
              <w:jc w:val="left"/>
            </w:pPr>
            <w:r>
              <w:t xml:space="preserve">4.1</w:t>
            </w:r>
          </w:p>
        </w:tc>
        <w:tc>
          <w:p>
            <w:pPr>
              <w:pStyle w:val="Compact"/>
              <w:jc w:val="left"/>
            </w:pPr>
            <w:r>
              <w:t xml:space="preserve">1.1</w:t>
            </w:r>
          </w:p>
        </w:tc>
        <w:tc>
          <w:p>
            <w:pPr>
              <w:pStyle w:val="Compact"/>
              <w:jc w:val="left"/>
            </w:pPr>
            <w:r>
              <w:t xml:space="preserve">1.1</w:t>
            </w:r>
          </w:p>
        </w:tc>
        <w:tc>
          <w:p>
            <w:pPr>
              <w:pStyle w:val="Compact"/>
              <w:jc w:val="left"/>
            </w:pPr>
            <w:r>
              <w:t xml:space="preserve">2.9</w:t>
            </w:r>
          </w:p>
        </w:tc>
      </w:tr>
      <w:tr>
        <w:tc>
          <w:p>
            <w:pPr>
              <w:pStyle w:val="Compact"/>
              <w:jc w:val="left"/>
            </w:pPr>
            <w:r>
              <w:t xml:space="preserve">2010 &amp; 2011 forest harvest (%)</w:t>
            </w:r>
          </w:p>
        </w:tc>
        <w:tc>
          <w:p>
            <w:pPr>
              <w:pStyle w:val="Compact"/>
              <w:jc w:val="left"/>
            </w:pPr>
            <w:r>
              <w:t xml:space="preserve">0.6</w:t>
            </w:r>
          </w:p>
        </w:tc>
        <w:tc>
          <w:p>
            <w:pPr>
              <w:pStyle w:val="Compact"/>
              <w:jc w:val="left"/>
            </w:pPr>
            <w:r>
              <w:t xml:space="preserve">0.0</w:t>
            </w:r>
          </w:p>
        </w:tc>
        <w:tc>
          <w:p>
            <w:pPr>
              <w:pStyle w:val="Compact"/>
              <w:jc w:val="left"/>
            </w:pPr>
            <w:r>
              <w:t xml:space="preserve">0.4</w:t>
            </w:r>
          </w:p>
        </w:tc>
        <w:tc>
          <w:p>
            <w:pPr>
              <w:pStyle w:val="Compact"/>
              <w:jc w:val="left"/>
            </w:pPr>
            <w:r>
              <w:t xml:space="preserve">0.7</w:t>
            </w:r>
          </w:p>
        </w:tc>
        <w:tc>
          <w:p>
            <w:pPr>
              <w:pStyle w:val="Compact"/>
              <w:jc w:val="left"/>
            </w:pPr>
            <w:r>
              <w:t xml:space="preserve">0.1</w:t>
            </w:r>
          </w:p>
        </w:tc>
        <w:tc>
          <w:p>
            <w:pPr>
              <w:pStyle w:val="Compact"/>
              <w:jc w:val="left"/>
            </w:pPr>
            <w:r>
              <w:t xml:space="preserve">0.9</w:t>
            </w:r>
          </w:p>
        </w:tc>
      </w:tr>
    </w:tbl>
    <w:p>
      <w:pPr>
        <w:pStyle w:val="BodyText"/>
      </w:pPr>
      <w:r>
        <w:t xml:space="preserve"> </w:t>
      </w:r>
    </w:p>
    <w:p>
      <w:pPr>
        <w:pStyle w:val="Heading5"/>
      </w:pPr>
      <w:bookmarkStart w:id="44" w:name="installations"/>
      <w:r>
        <w:t xml:space="preserve">Installations</w:t>
      </w:r>
      <w:bookmarkEnd w:id="44"/>
    </w:p>
    <w:p>
      <w:pPr>
        <w:pStyle w:val="FirstParagraph"/>
      </w:pPr>
      <w:r>
        <w:t xml:space="preserve">At each of the six monitoring sites, a vertical sampling rack was installed. These racks collect discrete water samples during the rising limb of stormflow, without employing costly pump-samplers. Each vertical rack also included a water level logger that recorded continuous stage (at ten-minute intervals). Vertical sampling racks supplemented the synoptic sampling program by providing synchronized spatial resolution that would otherwise be difficult to achieve (i.e., multiple sites across the watershed), while collecting samples during flows that would otherwise be difficult or unsafe to access.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 </w:t>
      </w:r>
    </w:p>
    <w:p>
      <w:pPr>
        <w:pStyle w:val="BodyText"/>
      </w:pPr>
      <w:r>
        <w:t xml:space="preserve">Each rack included a central stilling well (3.81cm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(Figure</w:t>
      </w:r>
      <w:r>
        <w:t xml:space="preserve"> </w:t>
      </w:r>
      <w:r>
        <w:t xml:space="preserve">5</w:t>
      </w:r>
      <w:r>
        <w:t xml:space="preserve">). By combining the height at which each siphon bottle filled with observed stage from the stilling-well tape and level-logger data, the date and time for each rising-stage sample collection was determined.</w:t>
      </w:r>
    </w:p>
    <w:p>
      <w:pPr>
        <w:pStyle w:val="BodyText"/>
      </w:pPr>
      <w:r>
        <w:t xml:space="preserve"> </w:t>
      </w:r>
    </w:p>
    <w:p>
      <w:pPr>
        <w:pStyle w:val="CaptionedFigure"/>
      </w:pPr>
      <w:r>
        <w:drawing>
          <wp:inline>
            <wp:extent cx="2645009" cy="5296155"/>
            <wp:effectExtent b="0" l="0" r="0" t="0"/>
            <wp:docPr descr="Figure 5: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5"/>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These vertical racks collected whole water samples on the rising limb of the hydrograph. The rising limb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Increasing DOC on the rising limb indicates that source material is not limited and flux is driven by hydrologic connectivity; whereas source limited conditions likely drive DOM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Heading3"/>
      </w:pPr>
      <w:bookmarkStart w:id="46" w:name="analytical-techniques-data"/>
      <w:r>
        <w:t xml:space="preserve">Analytical techniques &amp; data</w:t>
      </w:r>
      <w:bookmarkEnd w:id="46"/>
    </w:p>
    <w:p>
      <w:pPr>
        <w:pStyle w:val="FirstParagraph"/>
      </w:pPr>
      <w:r>
        <w:t xml:space="preserve">Water samples were collected and transported via coolers (on ice) to UBC’s EcoHydrology Lab for analysis of dissolved organic carbon (DOC) concentrations and indicators of NOM character. Samples were also measured for phosphate concentration using a colourmetric (ascorbic acid) orthophosphate test kit (HACH PO-19); each sample had phosphate concentrations below detectable limits (0.1 mg/L).</w:t>
      </w:r>
    </w:p>
    <w:p>
      <w:pPr>
        <w:pStyle w:val="Heading4"/>
      </w:pPr>
      <w:bookmarkStart w:id="47" w:name="X11d4bdebbabfc52989182cb9a32e289da31c756"/>
      <w:r>
        <w:t xml:space="preserve">Dissolved organic carbon (DOC) concentration and characterization</w:t>
      </w:r>
      <w:bookmarkEnd w:id="47"/>
    </w:p>
    <w:p>
      <w:pPr>
        <w:pStyle w:val="FirstParagraph"/>
      </w:pPr>
      <w:r>
        <w:t xml:space="preserve">For quantification of DOC, samples were analyzed for non-purgeable organic carbon (NPOC) via High-Temperature Combustion (Method 5310-B) on a Shimadzu TOC-V</w:t>
      </w:r>
      <w:r>
        <w:t xml:space="preserve"> </w:t>
      </w:r>
      <w:r>
        <w:t xml:space="preserve">(Eaton, A. D., Clesceri, L. S., Greenberg, A. E., Franson</w:t>
      </w:r>
      <w:r>
        <w:t xml:space="preserve"> </w:t>
      </w:r>
      <w:hyperlink w:anchor="ref-StdMet2000">
        <w:r>
          <w:rPr>
            <w:rStyle w:val="Hyperlink"/>
          </w:rPr>
          <w:t xml:space="preserve">2000</w:t>
        </w:r>
      </w:hyperlink>
      <w:r>
        <w:t xml:space="preserve">)</w:t>
      </w:r>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by non-dispersive infrared gas detector to quantify the DOC content of the sample.</w:t>
      </w:r>
      <w:r>
        <w:rPr>
          <w:rStyle w:val="FootnoteReference"/>
        </w:rPr>
        <w:footnoteReference w:id="48"/>
      </w:r>
      <w:r>
        <w:t xml:space="preserve"> </w:t>
      </w:r>
      <w:r>
        <w:t xml:space="preserve">This method represents a direct measure of DOC; although small volatile organic compounds would be removed in the sparging process, most NOM compounds are of higher molecular weight and it is unlikely that NOM analytes would be lost</w:t>
      </w:r>
      <w:r>
        <w:t xml:space="preserve"> </w:t>
      </w:r>
      <w:r>
        <w:t xml:space="preserve">(Eaton, A. D., Clesceri, L. S., Greenberg, A. E., Franson</w:t>
      </w:r>
      <w:r>
        <w:t xml:space="preserve"> </w:t>
      </w:r>
      <w:hyperlink w:anchor="ref-StdMet2000">
        <w:r>
          <w:rPr>
            <w:rStyle w:val="Hyperlink"/>
          </w:rPr>
          <w:t xml:space="preserve">2000</w:t>
        </w:r>
      </w:hyperlink>
      <w:r>
        <w:t xml:space="preserve">; Matilainen et al.</w:t>
      </w:r>
      <w:r>
        <w:t xml:space="preserve"> </w:t>
      </w:r>
      <w:hyperlink w:anchor="ref-Matilainen2011">
        <w:r>
          <w:rPr>
            <w:rStyle w:val="Hyperlink"/>
          </w:rPr>
          <w:t xml:space="preserve">2011</w:t>
        </w:r>
      </w:hyperlink>
      <w:r>
        <w:t xml:space="preserve">)</w:t>
      </w:r>
      <w:r>
        <w:t xml:space="preserve">.</w:t>
      </w:r>
    </w:p>
    <w:p>
      <w:pPr>
        <w:pStyle w:val="BodyText"/>
      </w:pPr>
      <w:r>
        <w:t xml:space="preserve"> </w:t>
      </w:r>
    </w:p>
    <w:p>
      <w:pPr>
        <w:pStyle w:val="BodyText"/>
      </w:pPr>
      <w:r>
        <w:t xml:space="preserve">Spectral properties of sample NOM were analyzed using a</w:t>
      </w:r>
      <w:r>
        <w:t xml:space="preserve"> </w:t>
      </w:r>
      <w:r>
        <w:t xml:space="preserve">‘</w:t>
      </w:r>
      <w:r>
        <w:t xml:space="preserve">spectro::lyser</w:t>
      </w:r>
      <w:r>
        <w:t xml:space="preserve">’</w:t>
      </w:r>
      <w:r>
        <w:t xml:space="preserve"> </w:t>
      </w:r>
      <w:r>
        <w:t xml:space="preserve">spectrophotometer (S::can, Vienna, Austria) which measures turbidity and the chromophoric portion of organic matter to estimate concentrations of total organic carbon (TOC), dissolved organic carbon (DOC), as well as nitrate-nitrogen (NO</w:t>
      </w:r>
      <w:r>
        <w:rPr>
          <w:vertAlign w:val="subscript"/>
        </w:rPr>
        <w:t xml:space="preserve">3</w:t>
      </w:r>
      <w:r>
        <w:rPr>
          <w:vertAlign w:val="superscript"/>
        </w:rPr>
        <w:t xml:space="preserve">-</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Pr>
          <w:vertAlign w:val="subscript"/>
        </w:rPr>
        <w:t xml:space="preserve">254</w:t>
      </w:r>
      <w:r>
        <w:t xml:space="preserve">) has been adopted as a surrogate for DOM aromaticity and, to some extent, its reactivity</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The spectro::lyser measures absorbance from 200 nm to 750 nm wavelengths, across which several spectral indicies can be calculated.</w:t>
      </w:r>
    </w:p>
    <w:p>
      <w:pPr>
        <w:pStyle w:val="Heading5"/>
      </w:pPr>
      <w:bookmarkStart w:id="49" w:name="suva254"/>
      <w:r>
        <w:t xml:space="preserve">SUVA</w:t>
      </w:r>
      <w:r>
        <w:rPr>
          <w:vertAlign w:val="subscript"/>
        </w:rPr>
        <w:t xml:space="preserve">254</w:t>
      </w:r>
      <w:bookmarkEnd w:id="49"/>
    </w:p>
    <w:p>
      <w:pPr>
        <w:pStyle w:val="FirstParagraph"/>
      </w:pPr>
      <w:r>
        <w:t xml:space="preserve">Specific ultraviolet absorbance at 254nm (SUVA</w:t>
      </w:r>
      <w:r>
        <w:rPr>
          <w:vertAlign w:val="subscript"/>
        </w:rPr>
        <w:t xml:space="preserve">254</w:t>
      </w:r>
      <w:r>
        <w:t xml:space="preserve">) is the ratio of UV absorption (spectral absorbance coefficient, SAC, m</w:t>
      </w:r>
      <w:r>
        <w:rPr>
          <w:vertAlign w:val="superscript"/>
        </w:rPr>
        <w:t xml:space="preserve">-1</w:t>
      </w:r>
      <w:r>
        <w:t xml:space="preserve">) at 254nm wavelength, normalized to DOC concentration (mgL</w:t>
      </w:r>
      <w:r>
        <w:rPr>
          <w:vertAlign w:val="superscript"/>
        </w:rPr>
        <w:t xml:space="preserve">-1</w:t>
      </w:r>
      <w:r>
        <w:t xml:space="preserve">) (i.e., SAC</w:t>
      </w:r>
      <w:r>
        <w:rPr>
          <w:vertAlign w:val="subscript"/>
        </w:rPr>
        <w:t xml:space="preserve">254</w:t>
      </w:r>
      <w:r>
        <w:t xml:space="preserve"> </w:t>
      </w:r>
      <w:r>
        <w:t xml:space="preserve">divided by mgL</w:t>
      </w:r>
      <w:r>
        <w:rPr>
          <w:vertAlign w:val="superscript"/>
        </w:rPr>
        <w:t xml:space="preserve">-1</w:t>
      </w:r>
      <w:r>
        <w:t xml:space="preserve">-DOC)</w:t>
      </w:r>
      <w:r>
        <w:t xml:space="preserve"> </w:t>
      </w:r>
      <w:r>
        <w:t xml:space="preserve">(Weishaar et al.</w:t>
      </w:r>
      <w:r>
        <w:t xml:space="preserve"> </w:t>
      </w:r>
      <w:hyperlink w:anchor="ref-Weishaar2003">
        <w:r>
          <w:rPr>
            <w:rStyle w:val="Hyperlink"/>
          </w:rPr>
          <w:t xml:space="preserve">2003</w:t>
        </w:r>
      </w:hyperlink>
      <w:r>
        <w:t xml:space="preserve">)</w:t>
      </w:r>
      <w:r>
        <w:t xml:space="preserve">. SUVA</w:t>
      </w:r>
      <w:r>
        <w:rPr>
          <w:vertAlign w:val="subscript"/>
        </w:rPr>
        <w:t xml:space="preserve">254</w:t>
      </w:r>
      <w:r>
        <w:t xml:space="preserve"> </w:t>
      </w:r>
      <w:r>
        <w:t xml:space="preserve">correlates strongly with DOM aromaticity, and loosely with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A higher SUVA value indicates greater aromaticity, and a lower SUVA value indicates more alliphatic DOM. Because humic substances are more aromatic, SUVA</w:t>
      </w:r>
      <w:r>
        <w:rPr>
          <w:vertAlign w:val="subscript"/>
        </w:rPr>
        <w:t xml:space="preserve">254</w:t>
      </w:r>
      <w:r>
        <w:t xml:space="preserve"> </w:t>
      </w:r>
      <w:r>
        <w:t xml:space="preserve">is a good indicator of DOM from humic sources (i.e., allochthonous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(e.g., alliphatics), which have negligible absorptivities in the UV-Vis range, may contribute to DBPs but not SUVA</w:t>
      </w:r>
      <w:r>
        <w:rPr>
          <w:vertAlign w:val="subscript"/>
        </w:rPr>
        <w:t xml:space="preserve">254</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w:t>
      </w:r>
    </w:p>
    <w:p>
      <w:pPr>
        <w:pStyle w:val="BodyText"/>
      </w:pPr>
      <w:r>
        <w:t xml:space="preserve"> </w:t>
      </w:r>
    </w:p>
    <w:p>
      <w:pPr>
        <w:pStyle w:val="BodyText"/>
      </w:pPr>
      <w:r>
        <w:t xml:space="preserve">SUVA</w:t>
      </w:r>
      <w:r>
        <w:rPr>
          <w:vertAlign w:val="subscript"/>
        </w:rPr>
        <w:t xml:space="preserve">254</w:t>
      </w:r>
      <w:r>
        <w:t xml:space="preserve"> </w:t>
      </w:r>
      <w:r>
        <w:t xml:space="preserve">is reported in units of liter per milligram carbon per meter (Lmg-C</w:t>
      </w:r>
      <w:r>
        <w:rPr>
          <w:vertAlign w:val="superscript"/>
        </w:rPr>
        <w:t xml:space="preserve">-1</w:t>
      </w:r>
      <w:r>
        <w:t xml:space="preserve">m</w:t>
      </w:r>
      <w:r>
        <w:rPr>
          <w:vertAlign w:val="superscript"/>
        </w:rPr>
        <w:t xml:space="preserve">-1</w:t>
      </w:r>
      <w:r>
        <w:t xml:space="preserve">) and was determined by dividing the UV absorbance measured at wavelength 254 nm by the DOC concentration (from NPOC on the Shimadzu TOC-V).</w:t>
      </w:r>
    </w:p>
    <w:p>
      <w:pPr>
        <w:pStyle w:val="Heading5"/>
      </w:pPr>
      <w:bookmarkStart w:id="50" w:name="spectral-indices-of-nom-character"/>
      <w:r>
        <w:t xml:space="preserve">Spectral indices of NOM character</w:t>
      </w:r>
      <w:bookmarkEnd w:id="50"/>
    </w:p>
    <w:p>
      <w:pPr>
        <w:pStyle w:val="FirstParagraph"/>
      </w:pPr>
      <w:r>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Spectral slopes (i.e., the change in absorbance intensity over a range of wavelengths) are semi-quantitative indicators for assessing DOM molecular weights</w:t>
      </w:r>
      <w:r>
        <w:t xml:space="preserve"> </w:t>
      </w:r>
      <w:r>
        <w:t xml:space="preserve">(Helms et al.</w:t>
      </w:r>
      <w:r>
        <w:t xml:space="preserve"> </w:t>
      </w:r>
      <w:hyperlink w:anchor="ref-Helms2008">
        <w:r>
          <w:rPr>
            <w:rStyle w:val="Hyperlink"/>
          </w:rPr>
          <w:t xml:space="preserve">2008</w:t>
        </w:r>
      </w:hyperlink>
      <w:r>
        <w:t xml:space="preserve">)</w:t>
      </w:r>
      <w:r>
        <w:t xml:space="preserve">. Spectral slopes over the wavelength range of 275-295 nm (S</w:t>
      </w:r>
      <w:r>
        <w:rPr>
          <w:vertAlign w:val="subscript"/>
        </w:rPr>
        <w:t xml:space="preserve">275-295</w:t>
      </w:r>
      <w:r>
        <w:t xml:space="preserve">, likely range for absorption by poly-aromatic hydrocarbons with 2 or more rings) and 350-400 nm (S</w:t>
      </w:r>
      <w:r>
        <w:rPr>
          <w:vertAlign w:val="subscript"/>
        </w:rPr>
        <w:t xml:space="preserve">350-400</w:t>
      </w:r>
      <w:r>
        <w:t xml:space="preserve">) were calculated from linear regression of log</w:t>
      </w:r>
      <w:r>
        <w:rPr>
          <w:vertAlign w:val="subscript"/>
        </w:rPr>
        <w:t xml:space="preserve">e</w:t>
      </w:r>
      <w:r>
        <w:t xml:space="preserve">-transformed spectra (spectral absorbance coefficients, m</w:t>
      </w:r>
      <w:r>
        <w:rPr>
          <w:vertAlign w:val="superscript"/>
        </w:rPr>
        <w:t xml:space="preserve">-1</w:t>
      </w:r>
      <w:r>
        <w:t xml:space="preserve">) as indicated by Helms</w:t>
      </w:r>
      <w:r>
        <w:t xml:space="preserve"> </w:t>
      </w:r>
      <w:r>
        <w:t xml:space="preserve">(</w:t>
      </w:r>
      <w:hyperlink w:anchor="ref-Helms2008">
        <w:r>
          <w:rPr>
            <w:rStyle w:val="Hyperlink"/>
          </w:rPr>
          <w:t xml:space="preserve">2008</w:t>
        </w:r>
      </w:hyperlink>
      <w:r>
        <w:t xml:space="preserve">, p 958)</w:t>
      </w:r>
      <w:r>
        <w:t xml:space="preserve">. Slope ratio (S</w:t>
      </w:r>
      <w:r>
        <w:rPr>
          <w:vertAlign w:val="subscript"/>
        </w:rPr>
        <w:t xml:space="preserve">R</w:t>
      </w:r>
      <w:r>
        <w:t xml:space="preserve">) is a unitless value equal to the slope of spectral intensity over the wavelength range of 275-295 nm relative to the slope of spectral intensity over 350-400 nm. S</w:t>
      </w:r>
      <w:r>
        <w:rPr>
          <w:vertAlign w:val="subscript"/>
        </w:rPr>
        <w:t xml:space="preserve">R</w:t>
      </w:r>
      <w:r>
        <w:t xml:space="preserve"> </w:t>
      </w:r>
      <w:r>
        <w:t xml:space="preserve">is inversely proportional to CDOM molecular weight</w:t>
      </w:r>
      <w:r>
        <w:t xml:space="preserve"> </w:t>
      </w:r>
      <w:r>
        <w:t xml:space="preserve">(Helms et al.</w:t>
      </w:r>
      <w:r>
        <w:t xml:space="preserve"> </w:t>
      </w:r>
      <w:hyperlink w:anchor="ref-Helms2008">
        <w:r>
          <w:rPr>
            <w:rStyle w:val="Hyperlink"/>
          </w:rPr>
          <w:t xml:space="preserve">2008</w:t>
        </w:r>
      </w:hyperlink>
      <w:r>
        <w:t xml:space="preserve">)</w:t>
      </w:r>
      <w:r>
        <w:t xml:space="preserve">.</w:t>
      </w:r>
      <w:r>
        <w:br/>
      </w:r>
      <w:r>
        <w:t xml:space="preserve">The ratio of absorbances at wavelengths 250 nm and 365 nm provides a quotient called E</w:t>
      </w:r>
      <w:r>
        <w:rPr>
          <w:vertAlign w:val="subscript"/>
        </w:rPr>
        <w:t xml:space="preserve">2</w:t>
      </w:r>
      <w:r>
        <w:t xml:space="preserve">:E</w:t>
      </w:r>
      <w:r>
        <w:rPr>
          <w:vertAlign w:val="subscript"/>
        </w:rPr>
        <w:t xml:space="preserve">3</w:t>
      </w:r>
      <w:r>
        <w:t xml:space="preserve"> </w:t>
      </w:r>
      <w:r>
        <w:t xml:space="preserve">which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along with S</w:t>
      </w:r>
      <w:r>
        <w:rPr>
          <w:vertAlign w:val="subscript"/>
        </w:rPr>
        <w:t xml:space="preserve">R</w:t>
      </w:r>
      <w:r>
        <w:t xml:space="preserve"> </w:t>
      </w:r>
      <w:r>
        <w:t xml:space="preserve">, to try to elucidate molecular character of DOM in samples.</w:t>
      </w:r>
    </w:p>
    <w:p>
      <w:pPr>
        <w:pStyle w:val="Heading4"/>
      </w:pPr>
      <w:bookmarkStart w:id="51" w:name="quality-control-quality-assurance"/>
      <w:r>
        <w:t xml:space="preserve">Quality Control &amp; Quality Assurance</w:t>
      </w:r>
      <w:bookmarkEnd w:id="51"/>
    </w:p>
    <w:p>
      <w:pPr>
        <w:pStyle w:val="Heading5"/>
      </w:pPr>
      <w:bookmarkStart w:id="52" w:name="X062d74c3ada921e0d0fa44e148d173c7c7c541a"/>
      <w:r>
        <w:t xml:space="preserve">Siphon sampler assumptions: vertical rack sampling QA/QC</w:t>
      </w:r>
      <w:bookmarkEnd w:id="52"/>
    </w:p>
    <w:p>
      <w:pPr>
        <w:pStyle w:val="FirstParagraph"/>
      </w:pPr>
      <w:r>
        <w:t xml:space="preserve">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velocity and turbulence associated with flows in the step-pool formation of the sub-basins, the assumption of unstratified waters seems very reasonable. The assumption of sample discretion was validated in lab using food colouring and a flow-through bucket system where a tap water sample was collected by siphon sample bottle, food colouring was added to flow system after sample collection and circulated for 15 minutes, then the sample bottle was removed from dye chamber and the colour of the sample was compared to surrounding dyed water. There was no dye present in sample bottle following this test, which was repeated five times with different siphon-lid bottles.</w:t>
      </w:r>
    </w:p>
    <w:p>
      <w:pPr>
        <w:pStyle w:val="Heading5"/>
      </w:pPr>
      <w:bookmarkStart w:id="53" w:name="X570b980af7918f06222fa032f7c5360ed2f0564"/>
      <w:r>
        <w:t xml:space="preserve">Sample hold-times and temperatures: vertical rack sampling QA/QC</w:t>
      </w:r>
      <w:bookmarkEnd w:id="53"/>
    </w:p>
    <w:p>
      <w:pPr>
        <w:pStyle w:val="FirstParagraph"/>
      </w:pPr>
      <w:r>
        <w:t xml:space="preserve">Every effort was made to retrieve rack samples as quickly as possible from the racks; none the less, some samples remained on a rack for more than a few days due to logistical, access and safety considerations. Hobo TidbiT temperature sensors were deployed at each vertical rack to monitor air and water temperature, which was used in estimates of sample stability between sample collection and retrieval from racks.</w:t>
      </w:r>
    </w:p>
    <w:p>
      <w:pPr>
        <w:pStyle w:val="BodyText"/>
      </w:pPr>
      <w:r>
        <w:t xml:space="preserve">Hold-time experiments were performed to assess sample stability. The hold-time experiments included replicate sample (n = 10) collection at a site, where half the samples were placed out of water on the vertical rack with siphon lids and the other half were returned to the lab for immediate analysis. Three hold-time experiments were completed such that the rack samples were left in the field for 11, 20 and 34 days before being retrieved and analyzed in comparison to their counterpart replicates (details in results section).</w:t>
      </w:r>
    </w:p>
    <w:p>
      <w:pPr>
        <w:pStyle w:val="Heading2"/>
      </w:pPr>
      <w:bookmarkStart w:id="54" w:name="results"/>
      <w:r>
        <w:t xml:space="preserve">Results</w:t>
      </w:r>
      <w:bookmarkEnd w:id="54"/>
    </w:p>
    <w:p>
      <w:pPr>
        <w:pStyle w:val="FirstParagraph"/>
      </w:pPr>
      <w:r>
        <w:t xml:space="preserve">The primary objectives of this project were to characterize the range of hydrochemical dynamics and synchrony during rainfall response among sub-basins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enhanced the synoptic sampling program by collecting samples during rainfall-induced hydrologic surges – samples which would have been challenging and dangerous to collect manually – near-simultaneously at multiple locations across the watershed. DOC concentration trends in stormflow were indicative of whether aqueous DOM was supply-limited or governed by hydrologic forcing. The data collected were used to elucidate spatiotemporal synchrony among sub-catchments.</w:t>
      </w:r>
    </w:p>
    <w:p>
      <w:pPr>
        <w:pStyle w:val="Heading3"/>
      </w:pPr>
      <w:bookmarkStart w:id="55" w:name="Xf03249ddafa1d2a683b9220335a3b696c05a3f3"/>
      <w:r>
        <w:t xml:space="preserve">Weather: precipitation and temperature from CRD weather stations</w:t>
      </w:r>
      <w:bookmarkEnd w:id="55"/>
    </w:p>
    <w:p>
      <w:pPr>
        <w:pStyle w:val="FirstParagraph"/>
      </w:pPr>
      <w:r>
        <w:t xml:space="preserve">The Capital Regional District (CRD) provided data from two fire-weather (</w:t>
      </w:r>
      <w:r>
        <w:t xml:space="preserve">“</w:t>
      </w:r>
      <w:r>
        <w:t xml:space="preserve">FWx</w:t>
      </w:r>
      <w:r>
        <w:t xml:space="preserve">”</w:t>
      </w:r>
      <w:r>
        <w:t xml:space="preserve">) stations in the Leech water supply area (LWSA). Chris Creek weather station (561m a.s.l) is located in the headwaters of the Leech watershed and Martin’s Gulch (512m a.s.l) is located near the future point of diversion (Leech River Tunnel). With two weather stations, there were insufficient data points to estimate sub-basin precipitation via Theissen polygons or isohyetal lines; therefore, arithmetic means were calculated based on data from Chris Creek and Martin’s Gulch stations. Average precipitation and air temperature are shown in Figure</w:t>
      </w:r>
      <w:r>
        <w:t xml:space="preserve"> </w:t>
      </w:r>
      <w:r>
        <w:t xml:space="preserve">6</w:t>
      </w:r>
      <w:r>
        <w:t xml:space="preserve">, with the study period highlighted.</w:t>
      </w:r>
    </w:p>
    <w:p>
      <w:pPr>
        <w:pStyle w:val="BodyText"/>
      </w:pPr>
      <w:r>
        <w:t xml:space="preserve"> </w:t>
      </w:r>
    </w:p>
    <w:p>
      <w:pPr>
        <w:pStyle w:val="BodyText"/>
      </w:pPr>
      <w:r>
        <w:drawing>
          <wp:inline>
            <wp:extent cx="5504749" cy="5504749"/>
            <wp:effectExtent b="0" l="0" r="0" t="0"/>
            <wp:docPr descr="Figure 6:  Average weather from two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6"/>
                    <a:stretch>
                      <a:fillRect/>
                    </a:stretch>
                  </pic:blipFill>
                  <pic:spPr bwMode="auto">
                    <a:xfrm>
                      <a:off x="0" y="0"/>
                      <a:ext cx="5504749" cy="5504749"/>
                    </a:xfrm>
                    <a:prstGeom prst="rect">
                      <a:avLst/>
                    </a:prstGeom>
                    <a:noFill/>
                    <a:ln w="9525">
                      <a:noFill/>
                      <a:headEnd/>
                      <a:tailEnd/>
                    </a:ln>
                  </pic:spPr>
                </pic:pic>
              </a:graphicData>
            </a:graphic>
          </wp:inline>
        </w:drawing>
      </w:r>
      <w:r>
        <w:t xml:space="preserve"> </w:t>
      </w:r>
      <w:r>
        <w:t xml:space="preserve"> </w:t>
      </w:r>
    </w:p>
    <w:p>
      <w:pPr>
        <w:pStyle w:val="BodyText"/>
      </w:pPr>
      <w:r>
        <w:t xml:space="preserve">Table</w:t>
      </w:r>
      <w:r>
        <w:t xml:space="preserve"> </w:t>
      </w:r>
      <w:r>
        <w:t xml:space="preserve">4</w:t>
      </w:r>
      <w:r>
        <w:t xml:space="preserve"> </w:t>
      </w:r>
      <w:r>
        <w:t xml:space="preserve">summarizes weather data by calender year, as well as the very wet period of January and February, 2020. It was assumed that the arithmetic means of rainfall were representative of rain conditions across the Leech watershed and these values were used to define rain events (section</w:t>
      </w:r>
      <w:r>
        <w:t xml:space="preserve"> </w:t>
      </w:r>
      <w:r>
        <w:t xml:space="preserve">5.3.1.0.1</w:t>
      </w:r>
      <w:r>
        <w:t xml:space="preserve">). Mean LWSA temperatures were compared to temperatures recorded at each installation site (section</w:t>
      </w:r>
      <w:r>
        <w:t xml:space="preserve"> </w:t>
      </w:r>
      <w:r>
        <w:t xml:space="preserve">5.3.1.2</w:t>
      </w:r>
      <w:r>
        <w:t xml:space="preserve">). As the CRD FWx stations are situated at elevation, snow depth records were not assumed to be representative of snow cover across the LWSA; however, snow melt contributed to runoff and recorded stage change at the six installation sites.</w:t>
      </w:r>
    </w:p>
    <w:p>
      <w:pPr>
        <w:pStyle w:val="BodyText"/>
      </w:pPr>
      <w:r>
        <w:t xml:space="preserve"> </w:t>
      </w:r>
    </w:p>
    <w:p>
      <w:pPr>
        <w:pStyle w:val="TableCaption"/>
      </w:pPr>
      <w:r>
        <w:t xml:space="preserve">Table 4:</w:t>
      </w:r>
      <w:r>
        <w:t xml:space="preserve"> </w:t>
      </w:r>
      <w:r>
        <w:rPr>
          <w:i/>
        </w:rPr>
        <w:t xml:space="preserve">Average weather data from CRD stations in Leech water supply area in 2018 and 2019</w:t>
      </w:r>
    </w:p>
    <w:tbl>
      <w:tblPr>
        <w:tblStyle w:val="Table"/>
        <w:tblW w:type="pct" w:w="0.0"/>
        <w:tblLook w:firstRow="1"/>
        <w:tblCaption w:val="Table 4: Average weather data from CRD stations in Leech water supply area in 2018 and 2019"/>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accum. (m)</w:t>
            </w:r>
          </w:p>
        </w:tc>
        <w:tc>
          <w:tcPr>
            <w:tcBorders>
              <w:bottom w:val="single"/>
            </w:tcBorders>
            <w:vAlign w:val="bottom"/>
          </w:tcPr>
          <w:p>
            <w:pPr>
              <w:pStyle w:val="Compact"/>
              <w:jc w:val="right"/>
            </w:pPr>
            <w:r>
              <w:t xml:space="preserve">mean temp. (°C)</w:t>
            </w:r>
          </w:p>
        </w:tc>
        <w:tc>
          <w:tcPr>
            <w:tcBorders>
              <w:bottom w:val="single"/>
            </w:tcBorders>
            <w:vAlign w:val="bottom"/>
          </w:tcPr>
          <w:p>
            <w:pPr>
              <w:pStyle w:val="Compact"/>
              <w:jc w:val="right"/>
            </w:pPr>
            <w:r>
              <w:t xml:space="preserve">st.dev temp.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max.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3.09</w:t>
            </w:r>
          </w:p>
        </w:tc>
        <w:tc>
          <w:p>
            <w:pPr>
              <w:pStyle w:val="Compact"/>
              <w:jc w:val="right"/>
            </w:pPr>
            <w:r>
              <w:t xml:space="preserve">8.50</w:t>
            </w:r>
          </w:p>
        </w:tc>
        <w:tc>
          <w:p>
            <w:pPr>
              <w:pStyle w:val="Compact"/>
              <w:jc w:val="right"/>
            </w:pPr>
            <w:r>
              <w:t xml:space="preserve">0.60</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3.09</w:t>
            </w:r>
          </w:p>
        </w:tc>
        <w:tc>
          <w:p>
            <w:pPr>
              <w:pStyle w:val="Compact"/>
              <w:jc w:val="right"/>
            </w:pPr>
            <w:r>
              <w:t xml:space="preserve">7.93</w:t>
            </w:r>
          </w:p>
        </w:tc>
        <w:tc>
          <w:p>
            <w:pPr>
              <w:pStyle w:val="Compact"/>
              <w:jc w:val="right"/>
            </w:pPr>
            <w:r>
              <w:t xml:space="preserve">0.63</w:t>
            </w:r>
          </w:p>
        </w:tc>
        <w:tc>
          <w:p>
            <w:pPr>
              <w:pStyle w:val="Compact"/>
              <w:jc w:val="right"/>
            </w:pPr>
            <w:r>
              <w:t xml:space="preserve">-13.2</w:t>
            </w:r>
          </w:p>
        </w:tc>
        <w:tc>
          <w:p>
            <w:pPr>
              <w:pStyle w:val="Compact"/>
              <w:jc w:val="right"/>
            </w:pPr>
            <w:r>
              <w:t xml:space="preserve">31.2</w:t>
            </w:r>
          </w:p>
        </w:tc>
      </w:tr>
      <w:tr>
        <w:tc>
          <w:p>
            <w:pPr>
              <w:pStyle w:val="Compact"/>
              <w:jc w:val="left"/>
            </w:pPr>
            <w:r>
              <w:t xml:space="preserve">Jan &amp; Feb 2020</w:t>
            </w:r>
          </w:p>
        </w:tc>
        <w:tc>
          <w:p>
            <w:pPr>
              <w:pStyle w:val="Compact"/>
              <w:jc w:val="right"/>
            </w:pPr>
            <w:r>
              <w:t xml:space="preserve">883.8</w:t>
            </w:r>
          </w:p>
        </w:tc>
        <w:tc>
          <w:p>
            <w:pPr>
              <w:pStyle w:val="Compact"/>
              <w:jc w:val="right"/>
            </w:pPr>
            <w:r>
              <w:t xml:space="preserve">65.8</w:t>
            </w:r>
          </w:p>
        </w:tc>
        <w:tc>
          <w:p>
            <w:pPr>
              <w:pStyle w:val="Compact"/>
              <w:jc w:val="right"/>
            </w:pPr>
            <w:r>
              <w:t xml:space="preserve">3.09</w:t>
            </w:r>
          </w:p>
        </w:tc>
        <w:tc>
          <w:p>
            <w:pPr>
              <w:pStyle w:val="Compact"/>
              <w:jc w:val="right"/>
            </w:pPr>
            <w:r>
              <w:t xml:space="preserve">1.90</w:t>
            </w:r>
          </w:p>
        </w:tc>
        <w:tc>
          <w:p>
            <w:pPr>
              <w:pStyle w:val="Compact"/>
              <w:jc w:val="right"/>
            </w:pPr>
            <w:r>
              <w:t xml:space="preserve">0.40</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Heading5"/>
      </w:pPr>
      <w:bookmarkStart w:id="57" w:name="events"/>
      <w:r>
        <w:t xml:space="preserve">Rain events</w:t>
      </w:r>
      <w:bookmarkEnd w:id="57"/>
    </w:p>
    <w:p>
      <w:pPr>
        <w:pStyle w:val="FirstParagraph"/>
      </w:pPr>
      <w:r>
        <w:t xml:space="preserve">LWSA mean FWx precipitation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During the study period there were 151 rain events, and 18 that were classified as major events. Major rain events were defined by precipitation accumulating to 50mm or more, where the events were separated from each other by a period of 14 hours or longer. Table</w:t>
      </w:r>
      <w:r>
        <w:t xml:space="preserve"> </w:t>
      </w:r>
      <w:r>
        <w:t xml:space="preserve">5</w:t>
      </w:r>
      <w:r>
        <w:t xml:space="preserve"> </w:t>
      </w:r>
      <w:r>
        <w:t xml:space="preserve">summarizes the eighteen major rain events that occurred during the study period (2018-10-23 to 2020-02-20). For each calender year in the study period, major rain events’ minimum and maximum values of depth, duration and intensity were identified and are summarized in the subsequent table, Table</w:t>
      </w:r>
      <w:r>
        <w:t xml:space="preserve"> </w:t>
      </w:r>
      <w:r>
        <w:t xml:space="preserve">6</w:t>
      </w:r>
      <w:r>
        <w:t xml:space="preserve">.</w:t>
      </w:r>
    </w:p>
    <w:p>
      <w:pPr>
        <w:pStyle w:val="BodyText"/>
      </w:pPr>
      <w:r>
        <w:t xml:space="preserve"> </w:t>
      </w:r>
    </w:p>
    <w:p>
      <w:pPr>
        <w:pStyle w:val="TableCaption"/>
      </w:pPr>
      <w:r>
        <w:t xml:space="preserve">Table 5:</w:t>
      </w:r>
      <w:r>
        <w:t xml:space="preserve"> </w:t>
      </w:r>
      <w:r>
        <w:rPr>
          <w:i/>
        </w:rPr>
        <w:t xml:space="preserve">Rain events defined by a threshold of 50mm with 14-hour inter-event period</w:t>
      </w:r>
    </w:p>
    <w:tbl>
      <w:tblPr>
        <w:tblStyle w:val="Table"/>
        <w:tblW w:type="pct" w:w="0.0"/>
        <w:tblLook w:firstRow="1"/>
        <w:tblCaption w:val="Table 5: Rain events defined by a threshold of 50mm with 14-hour inter-event period"/>
      </w:tblPr>
      <w:tblGrid/>
      <w:tr>
        <w:trPr>
          <w:cnfStyle w:firstRow="1"/>
        </w:trPr>
        <w:tc>
          <w:tcPr>
            <w:tcBorders>
              <w:bottom w:val="single"/>
            </w:tcBorders>
            <w:vAlign w:val="bottom"/>
          </w:tcPr>
          <w:p>
            <w:pPr>
              <w:pStyle w:val="Compact"/>
              <w:jc w:val="right"/>
            </w:pPr>
            <w:r>
              <w:t xml:space="preserve">Storm number</w:t>
            </w:r>
          </w:p>
        </w:tc>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(mm/hr)</w:t>
            </w:r>
          </w:p>
        </w:tc>
      </w:tr>
      <w:tr>
        <w:tc>
          <w:p>
            <w:pPr>
              <w:pStyle w:val="Compact"/>
              <w:jc w:val="right"/>
            </w:pPr>
            <w:r>
              <w:t xml:space="preserve">2</w:t>
            </w:r>
          </w:p>
        </w:tc>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0.8</w:t>
            </w:r>
          </w:p>
        </w:tc>
      </w:tr>
      <w:tr>
        <w:tc>
          <w:p>
            <w:pPr>
              <w:pStyle w:val="Compact"/>
              <w:jc w:val="right"/>
            </w:pPr>
            <w:r>
              <w:t xml:space="preserve">3</w:t>
            </w:r>
          </w:p>
        </w:tc>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2.4</w:t>
            </w:r>
          </w:p>
        </w:tc>
      </w:tr>
      <w:tr>
        <w:tc>
          <w:p>
            <w:pPr>
              <w:pStyle w:val="Compact"/>
              <w:jc w:val="right"/>
            </w:pPr>
            <w:r>
              <w:t xml:space="preserve">15</w:t>
            </w:r>
          </w:p>
        </w:tc>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1.8</w:t>
            </w:r>
          </w:p>
        </w:tc>
      </w:tr>
      <w:tr>
        <w:tc>
          <w:p>
            <w:pPr>
              <w:pStyle w:val="Compact"/>
              <w:jc w:val="right"/>
            </w:pPr>
            <w:r>
              <w:t xml:space="preserve">20</w:t>
            </w:r>
          </w:p>
        </w:tc>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1.7</w:t>
            </w:r>
          </w:p>
        </w:tc>
      </w:tr>
      <w:tr>
        <w:tc>
          <w:p>
            <w:pPr>
              <w:pStyle w:val="Compact"/>
              <w:jc w:val="right"/>
            </w:pPr>
            <w:r>
              <w:t xml:space="preserve">21</w:t>
            </w:r>
          </w:p>
        </w:tc>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1.2</w:t>
            </w:r>
          </w:p>
        </w:tc>
      </w:tr>
      <w:tr>
        <w:tc>
          <w:p>
            <w:pPr>
              <w:pStyle w:val="Compact"/>
              <w:jc w:val="right"/>
            </w:pPr>
            <w:r>
              <w:t xml:space="preserve">22</w:t>
            </w:r>
          </w:p>
        </w:tc>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0.9</w:t>
            </w:r>
          </w:p>
        </w:tc>
      </w:tr>
      <w:tr>
        <w:tc>
          <w:p>
            <w:pPr>
              <w:pStyle w:val="Compact"/>
              <w:jc w:val="right"/>
            </w:pPr>
            <w:r>
              <w:t xml:space="preserve">26</w:t>
            </w:r>
          </w:p>
        </w:tc>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2.3</w:t>
            </w:r>
          </w:p>
        </w:tc>
      </w:tr>
      <w:tr>
        <w:tc>
          <w:p>
            <w:pPr>
              <w:pStyle w:val="Compact"/>
              <w:jc w:val="right"/>
            </w:pPr>
            <w:r>
              <w:t xml:space="preserve">31</w:t>
            </w:r>
          </w:p>
        </w:tc>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1.0</w:t>
            </w:r>
          </w:p>
        </w:tc>
      </w:tr>
      <w:tr>
        <w:tc>
          <w:p>
            <w:pPr>
              <w:pStyle w:val="Compact"/>
              <w:jc w:val="right"/>
            </w:pPr>
            <w:r>
              <w:t xml:space="preserve">101</w:t>
            </w:r>
          </w:p>
        </w:tc>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0.8</w:t>
            </w:r>
          </w:p>
        </w:tc>
      </w:tr>
      <w:tr>
        <w:tc>
          <w:p>
            <w:pPr>
              <w:pStyle w:val="Compact"/>
              <w:jc w:val="right"/>
            </w:pPr>
            <w:r>
              <w:t xml:space="preserve">115</w:t>
            </w:r>
          </w:p>
        </w:tc>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0.9</w:t>
            </w:r>
          </w:p>
        </w:tc>
      </w:tr>
      <w:tr>
        <w:tc>
          <w:p>
            <w:pPr>
              <w:pStyle w:val="Compact"/>
              <w:jc w:val="right"/>
            </w:pPr>
            <w:r>
              <w:t xml:space="preserve">123</w:t>
            </w:r>
          </w:p>
        </w:tc>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1.2</w:t>
            </w:r>
          </w:p>
        </w:tc>
      </w:tr>
      <w:tr>
        <w:tc>
          <w:p>
            <w:pPr>
              <w:pStyle w:val="Compact"/>
              <w:jc w:val="right"/>
            </w:pPr>
            <w:r>
              <w:t xml:space="preserve">132</w:t>
            </w:r>
          </w:p>
        </w:tc>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70.5</w:t>
            </w:r>
          </w:p>
        </w:tc>
        <w:tc>
          <w:p>
            <w:pPr>
              <w:pStyle w:val="Compact"/>
              <w:jc w:val="right"/>
            </w:pPr>
            <w:r>
              <w:t xml:space="preserve">1.0</w:t>
            </w:r>
          </w:p>
        </w:tc>
      </w:tr>
      <w:tr>
        <w:tc>
          <w:p>
            <w:pPr>
              <w:pStyle w:val="Compact"/>
              <w:jc w:val="right"/>
            </w:pPr>
            <w:r>
              <w:t xml:space="preserve">136</w:t>
            </w:r>
          </w:p>
        </w:tc>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1.2</w:t>
            </w:r>
          </w:p>
        </w:tc>
      </w:tr>
      <w:tr>
        <w:tc>
          <w:p>
            <w:pPr>
              <w:pStyle w:val="Compact"/>
              <w:jc w:val="right"/>
            </w:pPr>
            <w:r>
              <w:t xml:space="preserve">140</w:t>
            </w:r>
          </w:p>
        </w:tc>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1.2</w:t>
            </w:r>
          </w:p>
        </w:tc>
      </w:tr>
      <w:tr>
        <w:tc>
          <w:p>
            <w:pPr>
              <w:pStyle w:val="Compact"/>
              <w:jc w:val="right"/>
            </w:pPr>
            <w:r>
              <w:t xml:space="preserve">141</w:t>
            </w:r>
          </w:p>
        </w:tc>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1.3</w:t>
            </w:r>
          </w:p>
        </w:tc>
      </w:tr>
      <w:tr>
        <w:tc>
          <w:p>
            <w:pPr>
              <w:pStyle w:val="Compact"/>
              <w:jc w:val="right"/>
            </w:pPr>
            <w:r>
              <w:t xml:space="preserve">147</w:t>
            </w:r>
          </w:p>
        </w:tc>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1.0</w:t>
            </w:r>
          </w:p>
        </w:tc>
      </w:tr>
      <w:tr>
        <w:tc>
          <w:p>
            <w:pPr>
              <w:pStyle w:val="Compact"/>
              <w:jc w:val="right"/>
            </w:pPr>
            <w:r>
              <w:t xml:space="preserve">149</w:t>
            </w:r>
          </w:p>
        </w:tc>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4.6</w:t>
            </w:r>
          </w:p>
        </w:tc>
      </w:tr>
      <w:tr>
        <w:tc>
          <w:p>
            <w:pPr>
              <w:pStyle w:val="Compact"/>
              <w:jc w:val="right"/>
            </w:pPr>
            <w:r>
              <w:t xml:space="preserve">151</w:t>
            </w:r>
          </w:p>
        </w:tc>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0.9</w:t>
            </w:r>
          </w:p>
        </w:tc>
      </w:tr>
    </w:tbl>
    <w:p>
      <w:pPr>
        <w:pStyle w:val="BodyText"/>
      </w:pPr>
      <w:r>
        <w:t xml:space="preserve"> </w:t>
      </w:r>
    </w:p>
    <w:p>
      <w:pPr>
        <w:pStyle w:val="TableCaption"/>
      </w:pPr>
      <w:r>
        <w:t xml:space="preserve">Table 6:</w:t>
      </w:r>
      <w:r>
        <w:t xml:space="preserve"> </w:t>
      </w:r>
      <w:r>
        <w:rPr>
          <w:i/>
        </w:rPr>
        <w:t xml:space="preserve">Minimum and maximum rain event values</w:t>
      </w:r>
      <w:r>
        <w:rPr>
          <w:i/>
        </w:rPr>
        <w:t xml:space="preserve"> </w:t>
      </w:r>
    </w:p>
    <w:tbl>
      <w:tblPr>
        <w:tblStyle w:val="Table"/>
        <w:tblW w:type="pct" w:w="0.0"/>
        <w:tblLook w:firstRow="1"/>
        <w:tblCaption w:val="Table 6: Minimum and maximum rain event values "/>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min. duration (days)</w:t>
            </w:r>
          </w:p>
        </w:tc>
        <w:tc>
          <w:tcPr>
            <w:tcBorders>
              <w:bottom w:val="single"/>
            </w:tcBorders>
            <w:vAlign w:val="bottom"/>
          </w:tcPr>
          <w:p>
            <w:pPr>
              <w:pStyle w:val="Compact"/>
              <w:jc w:val="right"/>
            </w:pPr>
            <w:r>
              <w:t xml:space="preserve">max. duration (days)</w:t>
            </w:r>
          </w:p>
        </w:tc>
        <w:tc>
          <w:tcPr>
            <w:tcBorders>
              <w:bottom w:val="single"/>
            </w:tcBorders>
            <w:vAlign w:val="bottom"/>
          </w:tcPr>
          <w:p>
            <w:pPr>
              <w:pStyle w:val="Compact"/>
              <w:jc w:val="right"/>
            </w:pPr>
            <w:r>
              <w:t xml:space="preserve">min rain (mm)</w:t>
            </w:r>
          </w:p>
        </w:tc>
        <w:tc>
          <w:tcPr>
            <w:tcBorders>
              <w:bottom w:val="single"/>
            </w:tcBorders>
            <w:vAlign w:val="bottom"/>
          </w:tcPr>
          <w:p>
            <w:pPr>
              <w:pStyle w:val="Compact"/>
              <w:jc w:val="right"/>
            </w:pPr>
            <w:r>
              <w:t xml:space="preserve">max rain (mm)</w:t>
            </w:r>
          </w:p>
        </w:tc>
        <w:tc>
          <w:tcPr>
            <w:tcBorders>
              <w:bottom w:val="single"/>
            </w:tcBorders>
            <w:vAlign w:val="bottom"/>
          </w:tcPr>
          <w:p>
            <w:pPr>
              <w:pStyle w:val="Compact"/>
              <w:jc w:val="right"/>
            </w:pPr>
            <w:r>
              <w:t xml:space="preserve">min intensity (mm/hr)</w:t>
            </w:r>
          </w:p>
        </w:tc>
        <w:tc>
          <w:tcPr>
            <w:tcBorders>
              <w:bottom w:val="single"/>
            </w:tcBorders>
            <w:vAlign w:val="bottom"/>
          </w:tcPr>
          <w:p>
            <w:pPr>
              <w:pStyle w:val="Compact"/>
              <w:jc w:val="right"/>
            </w:pPr>
            <w:r>
              <w:t xml:space="preserve">max intensity (mm/hr)</w:t>
            </w:r>
          </w:p>
        </w:tc>
      </w:tr>
      <w:tr>
        <w:tc>
          <w:p>
            <w:pPr>
              <w:pStyle w:val="Compact"/>
              <w:jc w:val="right"/>
            </w:pPr>
            <w:r>
              <w:t xml:space="preserve">2018</w:t>
            </w:r>
          </w:p>
        </w:tc>
        <w:tc>
          <w:p>
            <w:pPr>
              <w:pStyle w:val="Compact"/>
              <w:jc w:val="right"/>
            </w:pPr>
            <w:r>
              <w:t xml:space="preserve">0.9</w:t>
            </w:r>
          </w:p>
        </w:tc>
        <w:tc>
          <w:p>
            <w:pPr>
              <w:pStyle w:val="Compact"/>
              <w:jc w:val="right"/>
            </w:pPr>
            <w:r>
              <w:t xml:space="preserve">6.2</w:t>
            </w:r>
          </w:p>
        </w:tc>
        <w:tc>
          <w:p>
            <w:pPr>
              <w:pStyle w:val="Compact"/>
              <w:jc w:val="right"/>
            </w:pPr>
            <w:r>
              <w:t xml:space="preserve">54.5</w:t>
            </w:r>
          </w:p>
        </w:tc>
        <w:tc>
          <w:p>
            <w:pPr>
              <w:pStyle w:val="Compact"/>
              <w:jc w:val="right"/>
            </w:pPr>
            <w:r>
              <w:t xml:space="preserve">205.1</w:t>
            </w:r>
          </w:p>
        </w:tc>
        <w:tc>
          <w:p>
            <w:pPr>
              <w:pStyle w:val="Compact"/>
              <w:jc w:val="right"/>
            </w:pPr>
            <w:r>
              <w:t xml:space="preserve">0.84</w:t>
            </w:r>
          </w:p>
        </w:tc>
        <w:tc>
          <w:p>
            <w:pPr>
              <w:pStyle w:val="Compact"/>
              <w:jc w:val="right"/>
            </w:pPr>
            <w:r>
              <w:t xml:space="preserve">2.4</w:t>
            </w:r>
          </w:p>
        </w:tc>
      </w:tr>
      <w:tr>
        <w:tc>
          <w:p>
            <w:pPr>
              <w:pStyle w:val="Compact"/>
              <w:jc w:val="right"/>
            </w:pPr>
            <w:r>
              <w:t xml:space="preserve">2019</w:t>
            </w:r>
          </w:p>
        </w:tc>
        <w:tc>
          <w:p>
            <w:pPr>
              <w:pStyle w:val="Compact"/>
              <w:jc w:val="right"/>
            </w:pPr>
            <w:r>
              <w:t xml:space="preserve">2.0</w:t>
            </w:r>
          </w:p>
        </w:tc>
        <w:tc>
          <w:p>
            <w:pPr>
              <w:pStyle w:val="Compact"/>
              <w:jc w:val="right"/>
            </w:pPr>
            <w:r>
              <w:t xml:space="preserve">6.4</w:t>
            </w:r>
          </w:p>
        </w:tc>
        <w:tc>
          <w:p>
            <w:pPr>
              <w:pStyle w:val="Compact"/>
              <w:jc w:val="right"/>
            </w:pPr>
            <w:r>
              <w:t xml:space="preserve">57.1</w:t>
            </w:r>
          </w:p>
        </w:tc>
        <w:tc>
          <w:p>
            <w:pPr>
              <w:pStyle w:val="Compact"/>
              <w:jc w:val="right"/>
            </w:pPr>
            <w:r>
              <w:t xml:space="preserve">227.6</w:t>
            </w:r>
          </w:p>
        </w:tc>
        <w:tc>
          <w:p>
            <w:pPr>
              <w:pStyle w:val="Compact"/>
              <w:jc w:val="right"/>
            </w:pPr>
            <w:r>
              <w:t xml:space="preserve">0.78</w:t>
            </w:r>
          </w:p>
        </w:tc>
        <w:tc>
          <w:p>
            <w:pPr>
              <w:pStyle w:val="Compact"/>
              <w:jc w:val="right"/>
            </w:pPr>
            <w:r>
              <w:t xml:space="preserve">2.3</w:t>
            </w:r>
          </w:p>
        </w:tc>
      </w:tr>
      <w:tr>
        <w:tc>
          <w:p>
            <w:pPr>
              <w:pStyle w:val="Compact"/>
              <w:jc w:val="right"/>
            </w:pPr>
            <w:r>
              <w:t xml:space="preserve">2020</w:t>
            </w:r>
          </w:p>
        </w:tc>
        <w:tc>
          <w:p>
            <w:pPr>
              <w:pStyle w:val="Compact"/>
              <w:jc w:val="right"/>
            </w:pPr>
            <w:r>
              <w:t xml:space="preserve">1.9</w:t>
            </w:r>
          </w:p>
        </w:tc>
        <w:tc>
          <w:p>
            <w:pPr>
              <w:pStyle w:val="Compact"/>
              <w:jc w:val="right"/>
            </w:pPr>
            <w:r>
              <w:t xml:space="preserve">9.9</w:t>
            </w:r>
          </w:p>
        </w:tc>
        <w:tc>
          <w:p>
            <w:pPr>
              <w:pStyle w:val="Compact"/>
              <w:jc w:val="right"/>
            </w:pPr>
            <w:r>
              <w:t xml:space="preserve">75.9</w:t>
            </w:r>
          </w:p>
        </w:tc>
        <w:tc>
          <w:p>
            <w:pPr>
              <w:pStyle w:val="Compact"/>
              <w:jc w:val="right"/>
            </w:pPr>
            <w:r>
              <w:t xml:space="preserve">238.3</w:t>
            </w:r>
          </w:p>
        </w:tc>
        <w:tc>
          <w:p>
            <w:pPr>
              <w:pStyle w:val="Compact"/>
              <w:jc w:val="right"/>
            </w:pPr>
            <w:r>
              <w:t xml:space="preserve">0.93</w:t>
            </w:r>
          </w:p>
        </w:tc>
        <w:tc>
          <w:p>
            <w:pPr>
              <w:pStyle w:val="Compact"/>
              <w:jc w:val="right"/>
            </w:pPr>
            <w:r>
              <w:t xml:space="preserve">4.6</w:t>
            </w:r>
          </w:p>
        </w:tc>
      </w:tr>
    </w:tbl>
    <w:p>
      <w:pPr>
        <w:pStyle w:val="BodyText"/>
      </w:pPr>
      <w:r>
        <w:t xml:space="preserve"> </w:t>
      </w:r>
    </w:p>
    <w:p>
      <w:pPr>
        <w:pStyle w:val="BodyText"/>
      </w:pPr>
      <w:r>
        <w:t xml:space="preserve">The maximum intensity event of 2020, on January 30, generated incredible flows across the Leech watershed (not unlike the rest of Vancouver Island and most of the south coast of BC). Streamflow at Cragg crk (site-4) and the Leech Tunnel (site-6) over-topped the vertical racks (greater than 2m tall) and ripped the level-loggers out of their stilling wells.</w:t>
      </w:r>
      <w:r>
        <w:rPr>
          <w:rStyle w:val="FootnoteReference"/>
        </w:rPr>
        <w:footnoteReference w:id="58"/>
      </w:r>
      <w:r>
        <w:t xml:space="preserve"> </w:t>
      </w:r>
      <w:r>
        <w:t xml:space="preserve">Luckily, the level-loggers were found downstream in February and (after drying the circuit boards) the data were successfully retrieved from both Odyssey loggers.</w:t>
      </w:r>
    </w:p>
    <w:p>
      <w:pPr>
        <w:pStyle w:val="BodyText"/>
      </w:pPr>
      <w:r>
        <w:t xml:space="preserve">Figure</w:t>
      </w:r>
      <w:r>
        <w:t xml:space="preserve"> </w:t>
      </w:r>
      <w:r>
        <w:t xml:space="preserve">7</w:t>
      </w:r>
      <w:r>
        <w:t xml:space="preserve"> </w:t>
      </w:r>
      <w:r>
        <w:t xml:space="preserve">shows stream level at each monitored sub-basin along with events and samples collected. Eight of these events were captured in the 2019 water year (2018-2019 wet season), the other ten in the 2020 water year.</w:t>
      </w:r>
    </w:p>
    <w:p>
      <w:pPr>
        <w:pStyle w:val="BodyText"/>
      </w:pPr>
      <w:r>
        <w:t xml:space="preserve"> </w:t>
      </w:r>
    </w:p>
    <w:p>
      <w:pPr>
        <w:pStyle w:val="BodyText"/>
      </w:pPr>
      <w:r>
        <w:drawing>
          <wp:inline>
            <wp:extent cx="5943600" cy="7691717"/>
            <wp:effectExtent b="0" l="0" r="0" t="0"/>
            <wp:docPr descr="Figure 7:  Plot of Precipitation, rain events (as vertical lines), stream rise and sample collection at six sites across the LWSA." title="" id="1" name="Picture"/>
            <a:graphic>
              <a:graphicData uri="http://schemas.openxmlformats.org/drawingml/2006/picture">
                <pic:pic>
                  <pic:nvPicPr>
                    <pic:cNvPr descr="R-outputs_UBC-forWater-MSc_HMc/figures/hydro-samples_events_plot.png" id="0" name="Picture"/>
                    <pic:cNvPicPr>
                      <a:picLocks noChangeArrowheads="1" noChangeAspect="1"/>
                    </pic:cNvPicPr>
                  </pic:nvPicPr>
                  <pic:blipFill>
                    <a:blip r:embed="rId59"/>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 </w:t>
      </w:r>
    </w:p>
    <w:p>
      <w:pPr>
        <w:pStyle w:val="Heading4"/>
      </w:pPr>
      <w:bookmarkStart w:id="60" w:name="temperature-at-vertical-racks"/>
      <w:r>
        <w:t xml:space="preserve">Temperature at vertical racks</w:t>
      </w:r>
      <w:bookmarkEnd w:id="60"/>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8</w:t>
      </w:r>
      <w:r>
        <w:t xml:space="preserve">).</w:t>
      </w:r>
    </w:p>
    <w:p>
      <w:pPr>
        <w:pStyle w:val="CaptionedFigure"/>
      </w:pPr>
      <w:r>
        <w:drawing>
          <wp:inline>
            <wp:extent cx="5504749" cy="5504749"/>
            <wp:effectExtent b="0" l="0" r="0" t="0"/>
            <wp:docPr descr="Figure 8: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6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9</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9: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62"/>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rPr>
          <w:i/>
        </w:rPr>
        <w:t xml:space="preserve">Temperatures recorded in air and water on vertical racks at each research site.</w:t>
      </w:r>
    </w:p>
    <w:p>
      <w:pPr>
        <w:pStyle w:val="BodyText"/>
      </w:pPr>
      <w:r>
        <w:t xml:space="preserve"> </w:t>
      </w:r>
    </w:p>
    <w:p>
      <w:pPr>
        <w:pStyle w:val="Heading4"/>
      </w:pPr>
      <w:bookmarkStart w:id="63" w:name="Hobo"/>
      <w:r>
        <w:t xml:space="preserve">Air temperature comparison &amp; linear regression</w:t>
      </w:r>
      <w:bookmarkEnd w:id="63"/>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10</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10: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6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7</w:t>
      </w:r>
      <w:r>
        <w:t xml:space="preserve">) with no statistical difference (at 90% confidence) for Cragg Crk, West Leech and the Tunnel (sites 4, 5, 6).</w:t>
      </w:r>
    </w:p>
    <w:p>
      <w:pPr>
        <w:pStyle w:val="BodyText"/>
      </w:pPr>
      <w:r>
        <w:t xml:space="preserve"> </w:t>
      </w:r>
    </w:p>
    <w:p>
      <w:pPr>
        <w:pStyle w:val="TableCaption"/>
      </w:pPr>
      <w:r>
        <w:t xml:space="preserve">Table 7:</w:t>
      </w:r>
      <w:r>
        <w:t xml:space="preserve"> </w:t>
      </w:r>
      <w:r>
        <w:rPr>
          <w:i/>
        </w:rPr>
        <w:t xml:space="preserve">Relationships between air temperature recorded at each research site compared to mean air temperature recorded by LWSA weather stations.</w:t>
      </w:r>
    </w:p>
    <w:tbl>
      <w:tblPr>
        <w:tblStyle w:val="Table"/>
        <w:tblW w:type="pct" w:w="0.0"/>
        <w:tblLook w:firstRow="1"/>
        <w:tblCaption w:val="Table 7: Relationships between air temperature recorded at each research site compared to mean air temperature recorded by LWSA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0.0016</w:t>
            </w:r>
          </w:p>
        </w:tc>
      </w:tr>
      <w:tr>
        <w:tc>
          <w:p>
            <w:pPr>
              <w:pStyle w:val="Compact"/>
              <w:jc w:val="left"/>
            </w:pPr>
            <w:r>
              <w:t xml:space="preserve">ChrisCrk</w:t>
            </w:r>
          </w:p>
        </w:tc>
        <w:tc>
          <w:p>
            <w:pPr>
              <w:pStyle w:val="Compact"/>
              <w:jc w:val="right"/>
            </w:pPr>
            <w:r>
              <w:t xml:space="preserve">0.0071</w:t>
            </w:r>
          </w:p>
        </w:tc>
      </w:tr>
      <w:tr>
        <w:tc>
          <w:p>
            <w:pPr>
              <w:pStyle w:val="Compact"/>
              <w:jc w:val="left"/>
            </w:pPr>
            <w:r>
              <w:t xml:space="preserve">LeechHead</w:t>
            </w:r>
          </w:p>
        </w:tc>
        <w:tc>
          <w:p>
            <w:pPr>
              <w:pStyle w:val="Compact"/>
              <w:jc w:val="right"/>
            </w:pPr>
            <w:r>
              <w:t xml:space="preserve">0.0010</w:t>
            </w:r>
          </w:p>
        </w:tc>
      </w:tr>
      <w:tr>
        <w:tc>
          <w:p>
            <w:pPr>
              <w:pStyle w:val="Compact"/>
              <w:jc w:val="left"/>
            </w:pPr>
            <w:r>
              <w:t xml:space="preserve">CraggCrk</w:t>
            </w:r>
          </w:p>
        </w:tc>
        <w:tc>
          <w:p>
            <w:pPr>
              <w:pStyle w:val="Compact"/>
              <w:jc w:val="right"/>
            </w:pPr>
            <w:r>
              <w:t xml:space="preserve">0.0472</w:t>
            </w:r>
          </w:p>
        </w:tc>
      </w:tr>
      <w:tr>
        <w:tc>
          <w:p>
            <w:pPr>
              <w:pStyle w:val="Compact"/>
              <w:jc w:val="left"/>
            </w:pPr>
            <w:r>
              <w:t xml:space="preserve">WestLeech</w:t>
            </w:r>
          </w:p>
        </w:tc>
        <w:tc>
          <w:p>
            <w:pPr>
              <w:pStyle w:val="Compact"/>
              <w:jc w:val="right"/>
            </w:pPr>
            <w:r>
              <w:t xml:space="preserve">0.5757</w:t>
            </w:r>
          </w:p>
        </w:tc>
      </w:tr>
      <w:tr>
        <w:tc>
          <w:p>
            <w:pPr>
              <w:pStyle w:val="Compact"/>
              <w:jc w:val="left"/>
            </w:pPr>
            <w:r>
              <w:t xml:space="preserve">Tunnel</w:t>
            </w:r>
          </w:p>
        </w:tc>
        <w:tc>
          <w:p>
            <w:pPr>
              <w:pStyle w:val="Compact"/>
              <w:jc w:val="right"/>
            </w:pPr>
            <w:r>
              <w:t xml:space="preserve">0.2927</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11</w:t>
      </w:r>
      <w:r>
        <w:t xml:space="preserve">). Table</w:t>
      </w:r>
      <w:r>
        <w:t xml:space="preserve"> </w:t>
      </w:r>
      <w:r>
        <w:t xml:space="preserve">8</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CaptionedFigure"/>
      </w:pPr>
      <w:r>
        <w:drawing>
          <wp:inline>
            <wp:extent cx="5943600" cy="5943600"/>
            <wp:effectExtent b="0" l="0" r="0" t="0"/>
            <wp:docPr descr="Figure 11:  Relationships between air temperature recorded at each research site compared to mean air temperature recorded by LWSA weather stations. Plots in section A (top) show the relationships for the full data set and plots in section B show daily mean temperatures, the data that was used in linear regression."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6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rPr>
          <w:i/>
        </w:rPr>
        <w:t xml:space="preserve">Relationships between air temperature recorded at each research site compared to mean air temperature recorded by LWSA weather stations. Plots in section A (top) show the relationships for the full data set and plots in section B show daily mean temperatures, the data that was used in linear regression.</w:t>
      </w:r>
    </w:p>
    <w:p>
      <w:pPr>
        <w:pStyle w:val="BodyText"/>
      </w:pPr>
      <w:r>
        <w:t xml:space="preserve"> </w:t>
      </w:r>
    </w:p>
    <w:p>
      <w:pPr>
        <w:pStyle w:val="TableCaption"/>
      </w:pPr>
      <w:r>
        <w:t xml:space="preserve">Table 8:</w:t>
      </w:r>
      <w:r>
        <w:t xml:space="preserve"> </w:t>
      </w:r>
      <w:r>
        <w:rPr>
          <w:i/>
        </w:rPr>
        <w:t xml:space="preserve">Summary of predicted air temperature at each site compared to mean LWSA temperature from CRD FWx stations for the same time period</w:t>
      </w:r>
    </w:p>
    <w:tbl>
      <w:tblPr>
        <w:tblStyle w:val="Table"/>
        <w:tblW w:type="pct" w:w="0.0"/>
        <w:tblLook w:firstRow="1"/>
        <w:tblCaption w:val="Table 8: Summary of predicted air temperature at each site compared to mean LWSA temperature from CRD FWx stations for the same time period"/>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35.0</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15.3</w:t>
            </w:r>
          </w:p>
        </w:tc>
        <w:tc>
          <w:p>
            <w:pPr>
              <w:pStyle w:val="Compact"/>
              <w:jc w:val="right"/>
            </w:pPr>
            <w:r>
              <w:t xml:space="preserve">17.7</w:t>
            </w:r>
          </w:p>
        </w:tc>
      </w:tr>
      <w:tr>
        <w:tc>
          <w:p>
            <w:pPr>
              <w:pStyle w:val="Compact"/>
              <w:jc w:val="left"/>
            </w:pPr>
            <w:r>
              <w:t xml:space="preserve">ChrisCrk</w:t>
            </w:r>
          </w:p>
        </w:tc>
        <w:tc>
          <w:p>
            <w:pPr>
              <w:pStyle w:val="Compact"/>
              <w:jc w:val="right"/>
            </w:pPr>
            <w:r>
              <w:t xml:space="preserve">-10.7</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15.6</w:t>
            </w:r>
          </w:p>
        </w:tc>
        <w:tc>
          <w:p>
            <w:pPr>
              <w:pStyle w:val="Compact"/>
              <w:jc w:val="right"/>
            </w:pPr>
            <w:r>
              <w:t xml:space="preserve">18.0</w:t>
            </w:r>
          </w:p>
        </w:tc>
      </w:tr>
      <w:tr>
        <w:tc>
          <w:p>
            <w:pPr>
              <w:pStyle w:val="Compact"/>
              <w:jc w:val="left"/>
            </w:pPr>
            <w:r>
              <w:t xml:space="preserve">LeechHead</w:t>
            </w:r>
          </w:p>
        </w:tc>
        <w:tc>
          <w:p>
            <w:pPr>
              <w:pStyle w:val="Compact"/>
              <w:jc w:val="right"/>
            </w:pPr>
            <w:r>
              <w:t xml:space="preserve">-28.9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15.7</w:t>
            </w:r>
          </w:p>
        </w:tc>
        <w:tc>
          <w:p>
            <w:pPr>
              <w:pStyle w:val="Compact"/>
              <w:jc w:val="right"/>
            </w:pPr>
            <w:r>
              <w:t xml:space="preserve">17.2</w:t>
            </w:r>
          </w:p>
        </w:tc>
      </w:tr>
      <w:tr>
        <w:tc>
          <w:p>
            <w:pPr>
              <w:pStyle w:val="Compact"/>
              <w:jc w:val="left"/>
            </w:pPr>
            <w:r>
              <w:t xml:space="preserve">CraggCrk</w:t>
            </w:r>
          </w:p>
        </w:tc>
        <w:tc>
          <w:p>
            <w:pPr>
              <w:pStyle w:val="Compact"/>
              <w:jc w:val="right"/>
            </w:pPr>
            <w:r>
              <w:t xml:space="preserve">84.2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17.2</w:t>
            </w:r>
          </w:p>
        </w:tc>
        <w:tc>
          <w:p>
            <w:pPr>
              <w:pStyle w:val="Compact"/>
              <w:jc w:val="right"/>
            </w:pPr>
            <w:r>
              <w:t xml:space="preserve">18.9</w:t>
            </w:r>
          </w:p>
        </w:tc>
      </w:tr>
      <w:tr>
        <w:tc>
          <w:p>
            <w:pPr>
              <w:pStyle w:val="Compact"/>
              <w:jc w:val="left"/>
            </w:pPr>
            <w:r>
              <w:t xml:space="preserve">WestLeech</w:t>
            </w:r>
          </w:p>
        </w:tc>
        <w:tc>
          <w:p>
            <w:pPr>
              <w:pStyle w:val="Compact"/>
              <w:jc w:val="right"/>
            </w:pPr>
            <w:r>
              <w:t xml:space="preserve">-61.1</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16.5</w:t>
            </w:r>
          </w:p>
        </w:tc>
        <w:tc>
          <w:p>
            <w:pPr>
              <w:pStyle w:val="Compact"/>
              <w:jc w:val="right"/>
            </w:pPr>
            <w:r>
              <w:t xml:space="preserve">18.4</w:t>
            </w:r>
          </w:p>
        </w:tc>
      </w:tr>
      <w:tr>
        <w:tc>
          <w:p>
            <w:pPr>
              <w:pStyle w:val="Compact"/>
              <w:jc w:val="left"/>
            </w:pPr>
            <w:r>
              <w:t xml:space="preserve">Tunnel</w:t>
            </w:r>
          </w:p>
        </w:tc>
        <w:tc>
          <w:p>
            <w:pPr>
              <w:pStyle w:val="Compact"/>
              <w:jc w:val="right"/>
            </w:pPr>
            <w:r>
              <w:t xml:space="preserve">-6.9</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20.5</w:t>
            </w:r>
          </w:p>
        </w:tc>
        <w:tc>
          <w:p>
            <w:pPr>
              <w:pStyle w:val="Compact"/>
              <w:jc w:val="right"/>
            </w:pPr>
            <w:r>
              <w:t xml:space="preserve">19.5</w:t>
            </w:r>
          </w:p>
        </w:tc>
      </w:tr>
    </w:tbl>
    <w:p>
      <w:pPr>
        <w:pStyle w:val="BodyText"/>
      </w:pPr>
      <w:r>
        <w:t xml:space="preserve"> </w:t>
      </w:r>
    </w:p>
    <w:p>
      <w:pPr>
        <w:pStyle w:val="Heading3"/>
      </w:pPr>
      <w:bookmarkStart w:id="66" w:name="X2684ecebb5dfc6a442fe78aedab729c4b3876f7"/>
      <w:r>
        <w:t xml:space="preserve">Quality control: vertical rack hold-time experiments</w:t>
      </w:r>
      <w:bookmarkEnd w:id="66"/>
    </w:p>
    <w:p>
      <w:pPr>
        <w:pStyle w:val="FirstParagraph"/>
      </w:pPr>
      <w:r>
        <w:t xml:space="preserve">Hold-time experiments were conducted at the Tunnel site to assess stability of river water samples held in siphon bottles on the vertical rack. Figure</w:t>
      </w:r>
      <w:r>
        <w:t xml:space="preserve"> </w:t>
      </w:r>
      <w:r>
        <w:t xml:space="preserve">12</w:t>
      </w:r>
      <w:r>
        <w:t xml:space="preserve"> </w:t>
      </w:r>
      <w:r>
        <w:t xml:space="preserve">summarizes air temperature and timing of the three hold-time sets.</w:t>
      </w:r>
    </w:p>
    <w:p>
      <w:pPr>
        <w:pStyle w:val="BodyText"/>
      </w:pPr>
      <w:r>
        <w:t xml:space="preserve"> </w:t>
      </w:r>
    </w:p>
    <w:p>
      <w:pPr>
        <w:pStyle w:val="CaptionedFigure"/>
      </w:pPr>
      <w:r>
        <w:drawing>
          <wp:inline>
            <wp:extent cx="5943600" cy="5486399"/>
            <wp:effectExtent b="0" l="0" r="0" t="0"/>
            <wp:docPr descr="Figure 12:  Plot of air temperature during vertical rack hold-time experiments. Red horizontal lines indicate the 0-7°C range of a typical laboratory refrigerator and dashed vertical lines separate the three sets of hold-time samples from collection of grab samples to retrieval of held samples." title="" id="1" name="Picture"/>
            <a:graphic>
              <a:graphicData uri="http://schemas.openxmlformats.org/drawingml/2006/picture">
                <pic:pic>
                  <pic:nvPicPr>
                    <pic:cNvPr descr="R-outputs_UBC-forWater-MSc_HMc/figures/HoldTime_airTemp.png" id="0" name="Picture"/>
                    <pic:cNvPicPr>
                      <a:picLocks noChangeArrowheads="1" noChangeAspect="1"/>
                    </pic:cNvPicPr>
                  </pic:nvPicPr>
                  <pic:blipFill>
                    <a:blip r:embed="rId67"/>
                    <a:stretch>
                      <a:fillRect/>
                    </a:stretch>
                  </pic:blipFill>
                  <pic:spPr bwMode="auto">
                    <a:xfrm>
                      <a:off x="0" y="0"/>
                      <a:ext cx="5943600" cy="5486399"/>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rPr>
          <w:i/>
        </w:rPr>
        <w:t xml:space="preserve">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pPr>
        <w:pStyle w:val="BodyText"/>
      </w:pPr>
      <w:r>
        <w:t xml:space="preserve"> </w:t>
      </w:r>
    </w:p>
    <w:p>
      <w:pPr>
        <w:pStyle w:val="BodyText"/>
      </w:pPr>
      <w:r>
        <w:t xml:space="preserve">Each hold-time set included ten replicate samples, each collected at the same time in the same way from the same location. For each hold-time set, five samples were returned to the lab for immediate quantification of DOC and measurement of UV absorbance (</w:t>
      </w:r>
      <w:r>
        <w:t xml:space="preserve">“</w:t>
      </w:r>
      <w:r>
        <w:t xml:space="preserve">fresh</w:t>
      </w:r>
      <w:r>
        <w:t xml:space="preserve">”</w:t>
      </w:r>
      <w:r>
        <w:t xml:space="preserve"> </w:t>
      </w:r>
      <w:r>
        <w:t xml:space="preserve">samples) and five were placed on the vertical rack, capped with siphon lids to simulate rack samples, and collected at a later date for analysis (</w:t>
      </w:r>
      <w:r>
        <w:t xml:space="preserve">“</w:t>
      </w:r>
      <w:r>
        <w:t xml:space="preserve">held</w:t>
      </w:r>
      <w:r>
        <w:t xml:space="preserve">”</w:t>
      </w:r>
      <w:r>
        <w:t xml:space="preserve"> </w:t>
      </w:r>
      <w:r>
        <w:t xml:space="preserve">samples). Figure</w:t>
      </w:r>
      <w:r>
        <w:t xml:space="preserve"> </w:t>
      </w:r>
      <w:r>
        <w:t xml:space="preserve">13</w:t>
      </w:r>
      <w:r>
        <w:t xml:space="preserve"> </w:t>
      </w:r>
      <w:r>
        <w:t xml:space="preserve">shows results of sample analyses for DOC and UV</w:t>
      </w:r>
      <w:r>
        <w:rPr>
          <w:vertAlign w:val="subscript"/>
        </w:rPr>
        <w:t xml:space="preserve">254</w:t>
      </w:r>
      <w:r>
        <w:t xml:space="preserve"> </w:t>
      </w:r>
      <w:r>
        <w:t xml:space="preserve">absorbance of the fresh and held samples of each set, Hold-time sets were compared using two-sided paired Wilcoxon signed rank tests (a.k.a</w:t>
      </w:r>
      <w:r>
        <w:t xml:space="preserve"> </w:t>
      </w:r>
      <w:r>
        <w:t xml:space="preserve">‘</w:t>
      </w:r>
      <w:r>
        <w:t xml:space="preserve">Mann-Whitney</w:t>
      </w:r>
      <w:r>
        <w:t xml:space="preserve">’</w:t>
      </w:r>
      <w:r>
        <w:t xml:space="preserve"> </w:t>
      </w:r>
      <w:r>
        <w:t xml:space="preserve">test)</w:t>
      </w:r>
      <w:r>
        <w:rPr>
          <w:rStyle w:val="FootnoteReference"/>
        </w:rPr>
        <w:footnoteReference w:id="68"/>
      </w:r>
      <w:r>
        <w:t xml:space="preserve"> </w:t>
      </w:r>
      <w:r>
        <w:t xml:space="preserve">and Table</w:t>
      </w:r>
      <w:r>
        <w:t xml:space="preserve"> </w:t>
      </w:r>
      <w:r>
        <w:t xml:space="preserve">9</w:t>
      </w:r>
      <w:r>
        <w:t xml:space="preserve"> </w:t>
      </w:r>
      <w:r>
        <w:t xml:space="preserve">summarizes the number of days the rack samples were held, the mean air temperature over that period, and the percent change in DOC concentration and UV absorbance at 254nm, as well as Wilcoxon test results comparing fresh and held samples.</w:t>
      </w:r>
    </w:p>
    <w:p>
      <w:pPr>
        <w:pStyle w:val="BodyText"/>
      </w:pPr>
      <w:r>
        <w:t xml:space="preserve"> </w:t>
      </w:r>
    </w:p>
    <w:p>
      <w:pPr>
        <w:pStyle w:val="CaptionedFigure"/>
      </w:pPr>
      <w:r>
        <w:drawing>
          <wp:inline>
            <wp:extent cx="5943600" cy="3668888"/>
            <wp:effectExtent b="0" l="0" r="0" t="0"/>
            <wp:docPr descr="Figure 13:  Sample DOC concentrations and UV absorbance at 254nm contrasting hold-time samples from collection of grab samples to retrieval of held samples."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9"/>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rPr>
          <w:i/>
        </w:rPr>
        <w:t xml:space="preserve">Sample DOC concentrations and UV absorbance at 254nm contrasting hold-time samples from collection of grab samples to retrieval of held samples.</w:t>
      </w:r>
    </w:p>
    <w:p>
      <w:pPr>
        <w:pStyle w:val="BodyText"/>
      </w:pPr>
      <w:r>
        <w:t xml:space="preserve"> </w:t>
      </w:r>
    </w:p>
    <w:p>
      <w:pPr>
        <w:pStyle w:val="TableCaption"/>
      </w:pPr>
      <w:r>
        <w:t xml:space="preserve">Table 9:</w:t>
      </w:r>
      <w:r>
        <w:t xml:space="preserve"> </w:t>
      </w:r>
      <w:r>
        <w:rPr>
          <w:i/>
        </w:rPr>
        <w:t xml:space="preserve">Results comparing hold-time sample sets</w:t>
      </w:r>
    </w:p>
    <w:tbl>
      <w:tblPr>
        <w:tblStyle w:val="Table"/>
        <w:tblW w:type="pct" w:w="0.0"/>
        <w:tblLook w:firstRow="1"/>
        <w:tblCaption w:val="Table 9: Results comparing hold-time sample sets"/>
      </w:tblPr>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Temp range</w:t>
            </w:r>
          </w:p>
        </w:tc>
        <w:tc>
          <w:tcPr>
            <w:tcBorders>
              <w:bottom w:val="single"/>
            </w:tcBorders>
            <w:vAlign w:val="bottom"/>
          </w:tcPr>
          <w:p>
            <w:pPr>
              <w:pStyle w:val="Compact"/>
              <w:jc w:val="right"/>
            </w:pPr>
            <w:r>
              <w:t xml:space="preserve">DOC change (%)</w:t>
            </w:r>
          </w:p>
        </w:tc>
        <w:tc>
          <w:tcPr>
            <w:tcBorders>
              <w:bottom w:val="single"/>
            </w:tcBorders>
            <w:vAlign w:val="bottom"/>
          </w:tcPr>
          <w:p>
            <w:pPr>
              <w:pStyle w:val="Compact"/>
              <w:jc w:val="left"/>
            </w:pPr>
            <w:r>
              <w:t xml:space="preserve">sig.diff (DOC)</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right"/>
            </w:pPr>
            <w:r>
              <w:t xml:space="preserve">UV 254 change (%)</w:t>
            </w:r>
          </w:p>
        </w:tc>
        <w:tc>
          <w:tcPr>
            <w:tcBorders>
              <w:bottom w:val="single"/>
            </w:tcBorders>
            <w:vAlign w:val="bottom"/>
          </w:tcPr>
          <w:p>
            <w:pPr>
              <w:pStyle w:val="Compact"/>
              <w:jc w:val="left"/>
            </w:pPr>
            <w:r>
              <w:t xml:space="preserve">sig.diff (UV 254)</w:t>
            </w:r>
          </w:p>
        </w:tc>
        <w:tc>
          <w:tcPr>
            <w:tcBorders>
              <w:bottom w:val="single"/>
            </w:tcBorders>
            <w:vAlign w:val="bottom"/>
          </w:tcPr>
          <w:p>
            <w:pPr>
              <w:pStyle w:val="Compact"/>
              <w:jc w:val="right"/>
            </w:pPr>
            <w:r>
              <w:t xml:space="preserve">p-value (UV 254)</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right"/>
            </w:pPr>
            <w:r>
              <w:t xml:space="preserve">-45</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right"/>
            </w:pPr>
            <w:r>
              <w:t xml:space="preserve">1</w:t>
            </w:r>
          </w:p>
        </w:tc>
        <w:tc>
          <w:p>
            <w:pPr>
              <w:pStyle w:val="Compact"/>
              <w:jc w:val="left"/>
            </w:pPr>
            <w:r>
              <w:t xml:space="preserve">NA</w:t>
            </w:r>
          </w:p>
        </w:tc>
        <w:tc>
          <w:p>
            <w:pPr>
              <w:pStyle w:val="Compact"/>
              <w:jc w:val="right"/>
            </w:pPr>
            <w:r>
              <w:t xml:space="preserve">0.4375</w:t>
            </w:r>
          </w:p>
        </w:tc>
        <w:tc>
          <w:p>
            <w:pPr>
              <w:pStyle w:val="Compact"/>
              <w:jc w:val="right"/>
            </w:pPr>
            <w:r>
              <w:t xml:space="preserve">-8</w:t>
            </w:r>
          </w:p>
        </w:tc>
        <w:tc>
          <w:p>
            <w:pPr>
              <w:pStyle w:val="Compact"/>
              <w:jc w:val="left"/>
            </w:pPr>
            <w:r>
              <w:t xml:space="preserve">*</w:t>
            </w:r>
          </w:p>
        </w:tc>
        <w:tc>
          <w:p>
            <w:pPr>
              <w:pStyle w:val="Compact"/>
              <w:jc w:val="right"/>
            </w:pPr>
            <w:r>
              <w:t xml:space="preserve">0.0625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right"/>
            </w:pPr>
            <w:r>
              <w:t xml:space="preserve">-23</w:t>
            </w:r>
          </w:p>
        </w:tc>
        <w:tc>
          <w:p>
            <w:pPr>
              <w:pStyle w:val="Compact"/>
              <w:jc w:val="left"/>
            </w:pPr>
            <w:r>
              <w:t xml:space="preserve">NA</w:t>
            </w:r>
          </w:p>
        </w:tc>
        <w:tc>
          <w:p>
            <w:pPr>
              <w:pStyle w:val="Compact"/>
              <w:jc w:val="right"/>
            </w:pPr>
            <w:r>
              <w:t xml:space="preserve">0.1875</w:t>
            </w:r>
          </w:p>
        </w:tc>
        <w:tc>
          <w:p>
            <w:pPr>
              <w:pStyle w:val="Compact"/>
              <w:jc w:val="right"/>
            </w:pPr>
            <w:r>
              <w:t xml:space="preserve">-34</w:t>
            </w:r>
          </w:p>
        </w:tc>
        <w:tc>
          <w:p>
            <w:pPr>
              <w:pStyle w:val="Compact"/>
              <w:jc w:val="left"/>
            </w:pPr>
            <w:r>
              <w:t xml:space="preserve">*</w:t>
            </w:r>
          </w:p>
        </w:tc>
        <w:tc>
          <w:p>
            <w:pPr>
              <w:pStyle w:val="Compact"/>
              <w:jc w:val="right"/>
            </w:pPr>
            <w:r>
              <w:t xml:space="preserve">0.0625</w:t>
            </w:r>
          </w:p>
        </w:tc>
      </w:tr>
    </w:tbl>
    <w:p>
      <w:pPr>
        <w:pStyle w:val="BodyText"/>
      </w:pPr>
      <w:r>
        <w:t xml:space="preserve"> </w:t>
      </w:r>
    </w:p>
    <w:p>
      <w:pPr>
        <w:pStyle w:val="BodyText"/>
      </w:pPr>
      <w:r>
        <w:t xml:space="preserve">While there was no change in UV absorbance for samples from hold-time set-A, there was a significant (at 90% confidence level) change in DOC concentration (p-value = 0.063). Samples collected for hold-time set-A were DOC-rich</w:t>
      </w:r>
      <w:r>
        <w:t xml:space="preserve"> </w:t>
      </w:r>
      <w:r>
        <w:t xml:space="preserve">“</w:t>
      </w:r>
      <w:r>
        <w:t xml:space="preserve">first flush</w:t>
      </w:r>
      <w:r>
        <w:t xml:space="preserve">”</w:t>
      </w:r>
      <w:r>
        <w:t xml:space="preserve"> </w:t>
      </w:r>
      <w:r>
        <w:t xml:space="preserve">samples, and the Rack samples were held for 11 days at average temperature of 7°C (slightly above laboratory refrigerator temperatures). For set-A, mean DOC concentration was 45% lower in the held samples compared to the fresh grab samples. Set-B had a hold-time of 20 days with average air temperature at 6°C and there was no significant changes in either DOC concentration or UV</w:t>
      </w:r>
      <w:r>
        <w:rPr>
          <w:vertAlign w:val="subscript"/>
        </w:rPr>
        <w:t xml:space="preserve">254</w:t>
      </w:r>
      <w:r>
        <w:t xml:space="preserve"> </w:t>
      </w:r>
      <w:r>
        <w:t xml:space="preserve">(&lt;10% change). Hold-time Set-C included samples held for 34 days at an average of 4.4°C, including a period of sub-zero temperatures. While set-C did not show significant changes in DOC concentration (23% reduction), there were significant changes to UV</w:t>
      </w:r>
      <w:r>
        <w:rPr>
          <w:vertAlign w:val="subscript"/>
        </w:rPr>
        <w:t xml:space="preserve">254</w:t>
      </w:r>
      <w:r>
        <w:t xml:space="preserve"> </w:t>
      </w:r>
      <w:r>
        <w:t xml:space="preserve">(34% decrease in absorbance). In addition to the change in absorbance, Set-C held samples had greater variability for both DOC and UV</w:t>
      </w:r>
      <w:r>
        <w:rPr>
          <w:vertAlign w:val="subscript"/>
        </w:rPr>
        <w:t xml:space="preserve">254</w:t>
      </w:r>
      <w:r>
        <w:t xml:space="preserve"> </w:t>
      </w:r>
      <w:r>
        <w:t xml:space="preserve">compared to the fresh sample counterparts.</w:t>
      </w:r>
    </w:p>
    <w:p>
      <w:pPr>
        <w:pStyle w:val="BodyText"/>
      </w:pPr>
      <w:r>
        <w:t xml:space="preserve">These results suggest that early-season (</w:t>
      </w:r>
      <w:r>
        <w:t xml:space="preserve">“</w:t>
      </w:r>
      <w:r>
        <w:t xml:space="preserve">first flush</w:t>
      </w:r>
      <w:r>
        <w:t xml:space="preserve">”</w:t>
      </w:r>
      <w:r>
        <w:t xml:space="preserve">) samples may contain more labile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(set-C) significantly changed sample DOM character via a reduction in aromaticity, and while it did not statistically alter DOC concentration there was a notable increase in held sample DOC standard deviation. Additional tests would be required to determine if the change in DOM character was caused by the length of time the sample was held, or perhaps due only to freezing and thawing, or a combination of both time and temperature.</w:t>
      </w:r>
    </w:p>
    <w:p>
      <w:pPr>
        <w:pStyle w:val="BodyText"/>
      </w:pPr>
      <w:r>
        <w:t xml:space="preserve"> </w:t>
      </w:r>
    </w:p>
    <w:p>
      <w:pPr>
        <w:pStyle w:val="Heading5"/>
      </w:pPr>
      <w:bookmarkStart w:id="70" w:name="qaqc-data-handling"/>
      <w:r>
        <w:t xml:space="preserve">QA/QC data handling</w:t>
      </w:r>
      <w:bookmarkEnd w:id="70"/>
    </w:p>
    <w:p>
      <w:pPr>
        <w:pStyle w:val="FirstParagraph"/>
      </w:pPr>
      <w:r>
        <w:t xml:space="preserve">Based on results of the hold-time experiments, results of sample analyses were updated to include QA/QC data flags. Hold-times were calculated for each sample and Rack samples that remained held for fewer than 20 days at temperatures between 0-7°C were flagged as acceptable (</w:t>
      </w:r>
      <w:r>
        <w:t xml:space="preserve">“</w:t>
      </w:r>
      <w:r>
        <w:t xml:space="preserve">OK</w:t>
      </w:r>
      <w:r>
        <w:t xml:space="preserve">”</w:t>
      </w:r>
      <w:r>
        <w:t xml:space="preserve">). Rack samples that were held for 20 days or longer and samples identified as early-wet-season (</w:t>
      </w:r>
      <w:r>
        <w:t xml:space="preserve">“</w:t>
      </w:r>
      <w:r>
        <w:t xml:space="preserve">first-flush</w:t>
      </w:r>
      <w:r>
        <w:t xml:space="preserve">”</w:t>
      </w:r>
      <w:r>
        <w:t xml:space="preserve">) with a hold-time of 7+ days were flagged as unacceptable. Due to possible freeze-thaw changes, any samples that underwent freezing and thawing were also flagged. QA/QC flags were used to filter data, reducing the number of Rack samples included in analyses by 16.25%. Of 203 Rack samples, 33 were flagged resulting in 170 quality-assured Rack samples included in analyses. Some Grab samples were excluded from analysis due to contamination or</w:t>
      </w:r>
    </w:p>
    <w:p>
      <w:pPr>
        <w:pStyle w:val="Heading3"/>
      </w:pPr>
      <w:bookmarkStart w:id="71" w:name="X206b6dc85f2d0e8717c31364b69e2ee1378e65c"/>
      <w:r>
        <w:t xml:space="preserve">Nested sub-catchments of the Leech watershed</w:t>
      </w:r>
      <w:bookmarkEnd w:id="71"/>
    </w:p>
    <w:p>
      <w:pPr>
        <w:pStyle w:val="FirstParagraph"/>
      </w:pPr>
      <w:r>
        <w:t xml:space="preserve">Six locations across the Leech Water Supply Area (LWSA) were set up as monitoring sites where vertical racks were installed to measure continuous stage and collect water samples as the rivers rose in response to precipitation events. Figure</w:t>
      </w:r>
      <w:r>
        <w:t xml:space="preserve"> </w:t>
      </w:r>
      <w:r>
        <w:t xml:space="preserve">14</w:t>
      </w:r>
      <w:r>
        <w:t xml:space="preserve"> </w:t>
      </w:r>
      <w:r>
        <w:t xml:space="preserve">shows precipitation, air temperature, and stream response over the study period, as well as the timing and stage of samples collected.</w:t>
      </w:r>
    </w:p>
    <w:p>
      <w:pPr>
        <w:pStyle w:val="BodyText"/>
      </w:pPr>
      <w:r>
        <w:t xml:space="preserve">Across the LWSA, fluctuations in river stage were temporally synchronized. River responses among the six sites were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CaptionedFigure"/>
      </w:pPr>
      <w:r>
        <w:drawing>
          <wp:inline>
            <wp:extent cx="5943600" cy="7528559"/>
            <wp:effectExtent b="0" l="0" r="0" t="0"/>
            <wp:docPr descr="Figure 14:  Weather and stream response at six locations across the Leech Water Supply Area with points indicating stage and time of sample collection." title="" id="1" name="Picture"/>
            <a:graphic>
              <a:graphicData uri="http://schemas.openxmlformats.org/drawingml/2006/picture">
                <pic:pic>
                  <pic:nvPicPr>
                    <pic:cNvPr descr="R-outputs_UBC-forWater-MSc_HMc/figures/Wx-stage_subbasins_megaplot2.png" id="0" name="Picture"/>
                    <pic:cNvPicPr>
                      <a:picLocks noChangeArrowheads="1" noChangeAspect="1"/>
                    </pic:cNvPicPr>
                  </pic:nvPicPr>
                  <pic:blipFill>
                    <a:blip r:embed="rId72"/>
                    <a:stretch>
                      <a:fillRect/>
                    </a:stretch>
                  </pic:blipFill>
                  <pic:spPr bwMode="auto">
                    <a:xfrm>
                      <a:off x="0" y="0"/>
                      <a:ext cx="5943600" cy="7528559"/>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rPr>
          <w:i/>
        </w:rPr>
        <w:t xml:space="preserve">Weather and stream response at six locations across the Leech Water Supply Area with points indicating stage and time of sample collection.</w:t>
      </w:r>
    </w:p>
    <w:p>
      <w:pPr>
        <w:pStyle w:val="BodyText"/>
      </w:pPr>
      <w:r>
        <w:t xml:space="preserve"> </w:t>
      </w:r>
    </w:p>
    <w:p>
      <w:pPr>
        <w:pStyle w:val="Heading4"/>
      </w:pPr>
      <w:bookmarkStart w:id="73" w:name="spatial-variance-doc-concentrations"/>
      <w:r>
        <w:t xml:space="preserve">Spatial variance &amp; DOC concentrations</w:t>
      </w:r>
      <w:bookmarkEnd w:id="73"/>
    </w:p>
    <w:p>
      <w:pPr>
        <w:pStyle w:val="FirstParagraph"/>
      </w:pPr>
      <w:r>
        <w:t xml:space="preserve">Sampling of the six research sites was achieved through a combination of vertical rack sampling and synoptic grab sampling. The number of river samples passively collected on vertical racks more than doubled the number of rive samples collected by standard grab sampling. Vertical racks collected river samples on the rising hydrograph limb, which has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w:t>
      </w:r>
      <w:r>
        <w:t xml:space="preserve">and can be difficult or dangerous to capture by standard grab sampling, particularly across multiple sites. Indeed, samples with maximum DOC concentrations were captured by vertical racks at five of the six sites, with the exception of Leech River head (</w:t>
      </w:r>
      <w:r>
        <w:rPr>
          <w:i/>
        </w:rPr>
        <w:t xml:space="preserve">‘</w:t>
      </w:r>
      <w:r>
        <w:rPr>
          <w:i/>
        </w:rPr>
        <w:t xml:space="preserve">LeechHead</w:t>
      </w:r>
      <w:r>
        <w:rPr>
          <w:i/>
        </w:rPr>
        <w:t xml:space="preserve">’</w:t>
      </w:r>
      <w:r>
        <w:t xml:space="preserve">, site-3) where peak DOC happened to be collected as a Grab sample (Table</w:t>
      </w:r>
      <w:r>
        <w:t xml:space="preserve"> </w:t>
      </w:r>
      <w:r>
        <w:t xml:space="preserve">10</w:t>
      </w:r>
      <w:r>
        <w:t xml:space="preserve">).</w:t>
      </w:r>
    </w:p>
    <w:p>
      <w:pPr>
        <w:pStyle w:val="BodyText"/>
      </w:pPr>
      <w:r>
        <w:t xml:space="preserve"> </w:t>
      </w:r>
    </w:p>
    <w:p>
      <w:pPr>
        <w:pStyle w:val="TableCaption"/>
      </w:pPr>
      <w:r>
        <w:t xml:space="preserve">Table 10:</w:t>
      </w:r>
      <w:r>
        <w:t xml:space="preserve"> </w:t>
      </w:r>
      <w:r>
        <w:rPr>
          <w:i/>
        </w:rPr>
        <w:t xml:space="preserve">Summary of DOC across the six LWSA installation sites including breakdown of sample type collected.</w:t>
      </w:r>
    </w:p>
    <w:tbl>
      <w:tblPr>
        <w:tblStyle w:val="Table"/>
        <w:tblW w:type="pct" w:w="0.0"/>
        <w:tblLook w:firstRow="1"/>
        <w:tblCaption w:val="Table 10: Summary of DOC across the six LWSA installation sites including breakdown of sample type collected."/>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Max.(mg/L)</w:t>
            </w:r>
          </w:p>
        </w:tc>
      </w:tr>
      <w:tr>
        <w:tc>
          <w:p>
            <w:pPr>
              <w:pStyle w:val="Compact"/>
              <w:jc w:val="left"/>
            </w:pPr>
            <w:r>
              <w:t xml:space="preserve">Weeks</w:t>
            </w:r>
          </w:p>
        </w:tc>
        <w:tc>
          <w:p>
            <w:pPr>
              <w:pStyle w:val="Compact"/>
              <w:jc w:val="left"/>
            </w:pPr>
            <w:r>
              <w:t xml:space="preserve">Grab</w:t>
            </w:r>
          </w:p>
        </w:tc>
        <w:tc>
          <w:p>
            <w:pPr>
              <w:pStyle w:val="Compact"/>
              <w:jc w:val="right"/>
            </w:pPr>
            <w:r>
              <w:t xml:space="preserve">21</w:t>
            </w:r>
          </w:p>
        </w:tc>
        <w:tc>
          <w:p>
            <w:pPr>
              <w:pStyle w:val="Compact"/>
              <w:jc w:val="right"/>
            </w:pPr>
            <w:r>
              <w:t xml:space="preserve">9.5</w:t>
            </w:r>
          </w:p>
        </w:tc>
        <w:tc>
          <w:p>
            <w:pPr>
              <w:pStyle w:val="Compact"/>
              <w:jc w:val="right"/>
            </w:pPr>
            <w:r>
              <w:t xml:space="preserve">3.0</w:t>
            </w:r>
          </w:p>
        </w:tc>
        <w:tc>
          <w:p>
            <w:pPr>
              <w:pStyle w:val="Compact"/>
              <w:jc w:val="right"/>
            </w:pPr>
            <w:r>
              <w:t xml:space="preserve">31</w:t>
            </w:r>
          </w:p>
        </w:tc>
        <w:tc>
          <w:p>
            <w:pPr>
              <w:pStyle w:val="Compact"/>
              <w:jc w:val="right"/>
            </w:pPr>
            <w:r>
              <w:t xml:space="preserve">6.38</w:t>
            </w:r>
          </w:p>
        </w:tc>
        <w:tc>
          <w:p>
            <w:pPr>
              <w:pStyle w:val="Compact"/>
              <w:jc w:val="right"/>
            </w:pPr>
            <w:r>
              <w:t xml:space="preserve">9.02</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w:t>
            </w:r>
          </w:p>
        </w:tc>
        <w:tc>
          <w:p>
            <w:pPr>
              <w:pStyle w:val="Compact"/>
              <w:jc w:val="right"/>
            </w:pPr>
            <w:r>
              <w:t xml:space="preserve">3.7</w:t>
            </w:r>
          </w:p>
        </w:tc>
        <w:tc>
          <w:p>
            <w:pPr>
              <w:pStyle w:val="Compact"/>
              <w:jc w:val="right"/>
            </w:pPr>
            <w:r>
              <w:t xml:space="preserve">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19</w:t>
            </w:r>
          </w:p>
        </w:tc>
        <w:tc>
          <w:p>
            <w:pPr>
              <w:pStyle w:val="Compact"/>
              <w:jc w:val="right"/>
            </w:pPr>
            <w:r>
              <w:t xml:space="preserve">4.2</w:t>
            </w:r>
          </w:p>
        </w:tc>
        <w:tc>
          <w:p>
            <w:pPr>
              <w:pStyle w:val="Compact"/>
              <w:jc w:val="right"/>
            </w:pPr>
            <w:r>
              <w:t xml:space="preserve">2.3</w:t>
            </w:r>
          </w:p>
        </w:tc>
        <w:tc>
          <w:p>
            <w:pPr>
              <w:pStyle w:val="Compact"/>
              <w:jc w:val="right"/>
            </w:pPr>
            <w:r>
              <w:t xml:space="preserve">54</w:t>
            </w:r>
          </w:p>
        </w:tc>
        <w:tc>
          <w:p>
            <w:pPr>
              <w:pStyle w:val="Compact"/>
              <w:jc w:val="right"/>
            </w:pPr>
            <w:r>
              <w:t xml:space="preserve">1.84</w:t>
            </w:r>
          </w:p>
        </w:tc>
        <w:tc>
          <w:p>
            <w:pPr>
              <w:pStyle w:val="Compact"/>
              <w:jc w:val="right"/>
            </w:pPr>
            <w:r>
              <w:t xml:space="preserve">3.33</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w:t>
            </w:r>
          </w:p>
        </w:tc>
        <w:tc>
          <w:p>
            <w:pPr>
              <w:pStyle w:val="Compact"/>
              <w:jc w:val="right"/>
            </w:pPr>
            <w:r>
              <w:t xml:space="preserve">1.7</w:t>
            </w:r>
          </w:p>
        </w:tc>
        <w:tc>
          <w:p>
            <w:pPr>
              <w:pStyle w:val="Compact"/>
              <w:jc w:val="right"/>
            </w:pPr>
            <w:r>
              <w:t xml:space="preserve">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19</w:t>
            </w:r>
          </w:p>
        </w:tc>
        <w:tc>
          <w:p>
            <w:pPr>
              <w:pStyle w:val="Compact"/>
              <w:jc w:val="right"/>
            </w:pPr>
            <w:r>
              <w:t xml:space="preserve">6.8</w:t>
            </w:r>
          </w:p>
        </w:tc>
        <w:tc>
          <w:p>
            <w:pPr>
              <w:pStyle w:val="Compact"/>
              <w:jc w:val="right"/>
            </w:pPr>
            <w:r>
              <w:t xml:space="preserve">1.7</w:t>
            </w:r>
          </w:p>
        </w:tc>
        <w:tc>
          <w:p>
            <w:pPr>
              <w:pStyle w:val="Compact"/>
              <w:jc w:val="right"/>
            </w:pPr>
            <w:r>
              <w:t xml:space="preserve">25</w:t>
            </w:r>
          </w:p>
        </w:tc>
        <w:tc>
          <w:p>
            <w:pPr>
              <w:pStyle w:val="Compact"/>
              <w:jc w:val="right"/>
            </w:pPr>
            <w:r>
              <w:t xml:space="preserve">3.99</w:t>
            </w:r>
          </w:p>
        </w:tc>
        <w:tc>
          <w:p>
            <w:pPr>
              <w:pStyle w:val="Compact"/>
              <w:jc w:val="right"/>
            </w:pPr>
            <w:r>
              <w:t xml:space="preserve">6.19</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w:t>
            </w:r>
          </w:p>
        </w:tc>
        <w:tc>
          <w:p>
            <w:pPr>
              <w:pStyle w:val="Compact"/>
              <w:jc w:val="right"/>
            </w:pPr>
            <w:r>
              <w:t xml:space="preserve">1.7</w:t>
            </w:r>
          </w:p>
        </w:tc>
        <w:tc>
          <w:p>
            <w:pPr>
              <w:pStyle w:val="Compact"/>
              <w:jc w:val="right"/>
            </w:pPr>
            <w:r>
              <w:t xml:space="preserve">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30</w:t>
            </w:r>
          </w:p>
        </w:tc>
        <w:tc>
          <w:p>
            <w:pPr>
              <w:pStyle w:val="Compact"/>
              <w:jc w:val="right"/>
            </w:pPr>
            <w:r>
              <w:t xml:space="preserve">4.1</w:t>
            </w:r>
          </w:p>
        </w:tc>
        <w:tc>
          <w:p>
            <w:pPr>
              <w:pStyle w:val="Compact"/>
              <w:jc w:val="right"/>
            </w:pPr>
            <w:r>
              <w:t xml:space="preserve">1.3</w:t>
            </w:r>
          </w:p>
        </w:tc>
        <w:tc>
          <w:p>
            <w:pPr>
              <w:pStyle w:val="Compact"/>
              <w:jc w:val="right"/>
            </w:pPr>
            <w:r>
              <w:t xml:space="preserve">32</w:t>
            </w:r>
          </w:p>
        </w:tc>
        <w:tc>
          <w:p>
            <w:pPr>
              <w:pStyle w:val="Compact"/>
              <w:jc w:val="right"/>
            </w:pPr>
            <w:r>
              <w:t xml:space="preserve">1.79</w:t>
            </w:r>
          </w:p>
        </w:tc>
        <w:tc>
          <w:p>
            <w:pPr>
              <w:pStyle w:val="Compact"/>
              <w:jc w:val="right"/>
            </w:pPr>
            <w:r>
              <w:t xml:space="preserve">3.74</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5.3</w:t>
            </w:r>
          </w:p>
        </w:tc>
        <w:tc>
          <w:p>
            <w:pPr>
              <w:pStyle w:val="Compact"/>
              <w:jc w:val="right"/>
            </w:pPr>
            <w:r>
              <w:t xml:space="preserve">1.5</w:t>
            </w:r>
          </w:p>
        </w:tc>
        <w:tc>
          <w:p>
            <w:pPr>
              <w:pStyle w:val="Compact"/>
              <w:jc w:val="right"/>
            </w:pPr>
            <w:r>
              <w:t xml:space="preserve">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21</w:t>
            </w:r>
          </w:p>
        </w:tc>
        <w:tc>
          <w:p>
            <w:pPr>
              <w:pStyle w:val="Compact"/>
              <w:jc w:val="right"/>
            </w:pPr>
            <w:r>
              <w:t xml:space="preserve">4.3</w:t>
            </w:r>
          </w:p>
        </w:tc>
        <w:tc>
          <w:p>
            <w:pPr>
              <w:pStyle w:val="Compact"/>
              <w:jc w:val="right"/>
            </w:pPr>
            <w:r>
              <w:t xml:space="preserve">1.8</w:t>
            </w:r>
          </w:p>
        </w:tc>
        <w:tc>
          <w:p>
            <w:pPr>
              <w:pStyle w:val="Compact"/>
              <w:jc w:val="right"/>
            </w:pPr>
            <w:r>
              <w:t xml:space="preserve">42</w:t>
            </w:r>
          </w:p>
        </w:tc>
        <w:tc>
          <w:p>
            <w:pPr>
              <w:pStyle w:val="Compact"/>
              <w:jc w:val="right"/>
            </w:pPr>
            <w:r>
              <w:t xml:space="preserve">2.00</w:t>
            </w:r>
          </w:p>
        </w:tc>
        <w:tc>
          <w:p>
            <w:pPr>
              <w:pStyle w:val="Compact"/>
              <w:jc w:val="right"/>
            </w:pPr>
            <w:r>
              <w:t xml:space="preserve">4.23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6.7</w:t>
            </w:r>
          </w:p>
        </w:tc>
        <w:tc>
          <w:p>
            <w:pPr>
              <w:pStyle w:val="Compact"/>
              <w:jc w:val="right"/>
            </w:pPr>
            <w:r>
              <w:t xml:space="preserve">2.2</w:t>
            </w:r>
          </w:p>
        </w:tc>
        <w:tc>
          <w:p>
            <w:pPr>
              <w:pStyle w:val="Compact"/>
              <w:jc w:val="right"/>
            </w:pPr>
            <w:r>
              <w:t xml:space="preserve">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38</w:t>
            </w:r>
          </w:p>
        </w:tc>
        <w:tc>
          <w:p>
            <w:pPr>
              <w:pStyle w:val="Compact"/>
              <w:jc w:val="right"/>
            </w:pPr>
            <w:r>
              <w:t xml:space="preserve">4.2</w:t>
            </w:r>
          </w:p>
        </w:tc>
        <w:tc>
          <w:p>
            <w:pPr>
              <w:pStyle w:val="Compact"/>
              <w:jc w:val="right"/>
            </w:pPr>
            <w:r>
              <w:t xml:space="preserve">1.7</w:t>
            </w:r>
          </w:p>
        </w:tc>
        <w:tc>
          <w:p>
            <w:pPr>
              <w:pStyle w:val="Compact"/>
              <w:jc w:val="right"/>
            </w:pPr>
            <w:r>
              <w:t xml:space="preserve">41</w:t>
            </w:r>
          </w:p>
        </w:tc>
        <w:tc>
          <w:p>
            <w:pPr>
              <w:pStyle w:val="Compact"/>
              <w:jc w:val="right"/>
            </w:pPr>
            <w:r>
              <w:t xml:space="preserve">1.65</w:t>
            </w:r>
          </w:p>
        </w:tc>
        <w:tc>
          <w:p>
            <w:pPr>
              <w:pStyle w:val="Compact"/>
              <w:jc w:val="right"/>
            </w:pPr>
            <w:r>
              <w:t xml:space="preserve">3.71</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w:t>
            </w:r>
          </w:p>
        </w:tc>
        <w:tc>
          <w:p>
            <w:pPr>
              <w:pStyle w:val="Compact"/>
              <w:jc w:val="right"/>
            </w:pPr>
            <w:r>
              <w:t xml:space="preserve">1.7</w:t>
            </w:r>
          </w:p>
        </w:tc>
        <w:tc>
          <w:p>
            <w:pPr>
              <w:pStyle w:val="Compact"/>
              <w:jc w:val="right"/>
            </w:pPr>
            <w:r>
              <w:t xml:space="preserve">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r>
      <w:tr>
        <w:tc>
          <w:p>
            <w:pPr>
              <w:pStyle w:val="Compact"/>
              <w:jc w:val="left"/>
            </w:pPr>
            <w:r>
              <w:t xml:space="preserve">All sites</w:t>
            </w:r>
          </w:p>
        </w:tc>
        <w:tc>
          <w:p>
            <w:pPr>
              <w:pStyle w:val="Compact"/>
              <w:jc w:val="left"/>
            </w:pPr>
            <w:r>
              <w:t xml:space="preserve">Grab</w:t>
            </w:r>
          </w:p>
        </w:tc>
        <w:tc>
          <w:p>
            <w:pPr>
              <w:pStyle w:val="Compact"/>
              <w:jc w:val="right"/>
            </w:pPr>
            <w:r>
              <w:t xml:space="preserve">148</w:t>
            </w:r>
          </w:p>
        </w:tc>
        <w:tc>
          <w:p>
            <w:pPr>
              <w:pStyle w:val="Compact"/>
              <w:jc w:val="right"/>
            </w:pPr>
            <w:r>
              <w:t xml:space="preserve">5.3</w:t>
            </w:r>
          </w:p>
        </w:tc>
        <w:tc>
          <w:p>
            <w:pPr>
              <w:pStyle w:val="Compact"/>
              <w:jc w:val="right"/>
            </w:pPr>
            <w:r>
              <w:t xml:space="preserve">2.7</w:t>
            </w:r>
          </w:p>
        </w:tc>
        <w:tc>
          <w:p>
            <w:pPr>
              <w:pStyle w:val="Compact"/>
              <w:jc w:val="right"/>
            </w:pPr>
            <w:r>
              <w:t xml:space="preserve">52</w:t>
            </w:r>
          </w:p>
        </w:tc>
        <w:tc>
          <w:p>
            <w:pPr>
              <w:pStyle w:val="Compact"/>
              <w:jc w:val="right"/>
            </w:pPr>
            <w:r>
              <w:t xml:space="preserve">1.65</w:t>
            </w:r>
          </w:p>
        </w:tc>
        <w:tc>
          <w:p>
            <w:pPr>
              <w:pStyle w:val="Compact"/>
              <w:jc w:val="right"/>
            </w:pPr>
            <w:r>
              <w:t xml:space="preserve">4.77</w:t>
            </w:r>
          </w:p>
        </w:tc>
        <w:tc>
          <w:p>
            <w:pPr>
              <w:pStyle w:val="Compact"/>
              <w:jc w:val="right"/>
            </w:pPr>
            <w:r>
              <w:t xml:space="preserve">18.74</w:t>
            </w:r>
          </w:p>
        </w:tc>
      </w:tr>
      <w:tr>
        <w:tc>
          <w:p>
            <w:pPr>
              <w:pStyle w:val="Compact"/>
              <w:jc w:val="left"/>
            </w:pPr>
            <w:r>
              <w:t xml:space="preserve">All sites</w:t>
            </w:r>
          </w:p>
        </w:tc>
        <w:tc>
          <w:p>
            <w:pPr>
              <w:pStyle w:val="Compact"/>
              <w:jc w:val="left"/>
            </w:pPr>
            <w:r>
              <w:t xml:space="preserve">Rack</w:t>
            </w:r>
          </w:p>
        </w:tc>
        <w:tc>
          <w:p>
            <w:pPr>
              <w:pStyle w:val="Compact"/>
              <w:jc w:val="right"/>
            </w:pPr>
            <w:r>
              <w:t xml:space="preserve">170</w:t>
            </w:r>
          </w:p>
        </w:tc>
        <w:tc>
          <w:p>
            <w:pPr>
              <w:pStyle w:val="Compact"/>
              <w:jc w:val="right"/>
            </w:pPr>
            <w:r>
              <w:t xml:space="preserve">6.8</w:t>
            </w:r>
          </w:p>
        </w:tc>
        <w:tc>
          <w:p>
            <w:pPr>
              <w:pStyle w:val="Compact"/>
              <w:jc w:val="right"/>
            </w:pPr>
            <w:r>
              <w:t xml:space="preserve">2.8</w:t>
            </w:r>
          </w:p>
        </w:tc>
        <w:tc>
          <w:p>
            <w:pPr>
              <w:pStyle w:val="Compact"/>
              <w:jc w:val="right"/>
            </w:pPr>
            <w:r>
              <w:t xml:space="preserve">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318</w:t>
            </w:r>
          </w:p>
        </w:tc>
        <w:tc>
          <w:p>
            <w:pPr>
              <w:pStyle w:val="Compact"/>
              <w:jc w:val="right"/>
            </w:pPr>
            <w:r>
              <w:t xml:space="preserve">6.1</w:t>
            </w:r>
          </w:p>
        </w:tc>
        <w:tc>
          <w:p>
            <w:pPr>
              <w:pStyle w:val="Compact"/>
              <w:jc w:val="right"/>
            </w:pPr>
            <w:r>
              <w:t xml:space="preserve">2.9</w:t>
            </w:r>
          </w:p>
        </w:tc>
        <w:tc>
          <w:p>
            <w:pPr>
              <w:pStyle w:val="Compact"/>
              <w:jc w:val="right"/>
            </w:pPr>
            <w:r>
              <w:t xml:space="preserve">47</w:t>
            </w:r>
          </w:p>
        </w:tc>
        <w:tc>
          <w:p>
            <w:pPr>
              <w:pStyle w:val="Compact"/>
              <w:jc w:val="right"/>
            </w:pPr>
            <w:r>
              <w:t xml:space="preserve">1.65</w:t>
            </w:r>
          </w:p>
        </w:tc>
        <w:tc>
          <w:p>
            <w:pPr>
              <w:pStyle w:val="Compact"/>
              <w:jc w:val="right"/>
            </w:pPr>
            <w:r>
              <w:t xml:space="preserve">5.65</w:t>
            </w:r>
          </w:p>
        </w:tc>
        <w:tc>
          <w:p>
            <w:pPr>
              <w:pStyle w:val="Compact"/>
              <w:jc w:val="right"/>
            </w:pPr>
            <w:r>
              <w:t xml:space="preserve">19.07</w:t>
            </w:r>
          </w:p>
        </w:tc>
      </w:tr>
    </w:tbl>
    <w:p>
      <w:pPr>
        <w:pStyle w:val="BodyText"/>
      </w:pPr>
      <w:r>
        <w:t xml:space="preserve"> </w:t>
      </w:r>
    </w:p>
    <w:p>
      <w:pPr>
        <w:pStyle w:val="BodyText"/>
      </w:pPr>
      <w:r>
        <w:t xml:space="preserve">Figure</w:t>
      </w:r>
      <w:r>
        <w:t xml:space="preserve"> </w:t>
      </w:r>
      <w:r>
        <w:t xml:space="preserve">15</w:t>
      </w:r>
      <w:r>
        <w:t xml:space="preserve"> </w:t>
      </w:r>
      <w:r>
        <w:t xml:space="preserve">shows the distribution of DOC concentrations at each of the six sites. Highest concentrations and variance in DOC occurred at the Weeks Main creek headwater site (</w:t>
      </w:r>
      <w:r>
        <w:rPr>
          <w:i/>
        </w:rPr>
        <w:t xml:space="preserve">‘</w:t>
      </w:r>
      <w:r>
        <w:rPr>
          <w:i/>
        </w:rPr>
        <w:t xml:space="preserve">Weeks</w:t>
      </w:r>
      <w:r>
        <w:rPr>
          <w:i/>
        </w:rPr>
        <w:t xml:space="preserve">’</w:t>
      </w:r>
      <w:r>
        <w:t xml:space="preserve">, site-1), a sub-basin in the northwest of the Leech watershed which includes Weeks Lake and surrounding wetlands. Lowest average concentration and variance in DOC was recorded at Cragg Creek (</w:t>
      </w:r>
      <w:r>
        <w:rPr>
          <w:i/>
        </w:rPr>
        <w:t xml:space="preserve">‘</w:t>
      </w:r>
      <w:r>
        <w:rPr>
          <w:i/>
        </w:rPr>
        <w:t xml:space="preserve">CraggCrk</w:t>
      </w:r>
      <w:r>
        <w:rPr>
          <w:i/>
        </w:rPr>
        <w:t xml:space="preserve">’</w:t>
      </w:r>
      <w:r>
        <w:t xml:space="preserve">, site-4), a mainstem river that drains the east sub-basin of the Leech watershed, including Jarvis Lake and the western slopes of Survey Mountain. DOC concentration and variance at Leech River Tunnel (</w:t>
      </w:r>
      <w:r>
        <w:rPr>
          <w:i/>
        </w:rPr>
        <w:t xml:space="preserve">‘</w:t>
      </w:r>
      <w:r>
        <w:rPr>
          <w:i/>
        </w:rPr>
        <w:t xml:space="preserve">Tunnel</w:t>
      </w:r>
      <w:r>
        <w:rPr>
          <w:i/>
        </w:rPr>
        <w:t xml:space="preserve">’</w:t>
      </w:r>
      <w:r>
        <w:t xml:space="preserve">, site-6) was similar to CraggCrk.</w:t>
      </w:r>
    </w:p>
    <w:p>
      <w:pPr>
        <w:pStyle w:val="BodyText"/>
      </w:pPr>
      <w:r>
        <w:t xml:space="preserve"> </w:t>
      </w:r>
    </w:p>
    <w:p>
      <w:pPr>
        <w:pStyle w:val="CaptionedFigure"/>
      </w:pPr>
      <w:r>
        <w:drawing>
          <wp:inline>
            <wp:extent cx="4587290" cy="4587290"/>
            <wp:effectExtent b="0" l="0" r="0" t="0"/>
            <wp:docPr descr="Figure 15:  Dissolved organic carbon (DOC) concentrations across the Leech watershed over sixteen months, collected by standard grab sampling and on vertical racks (318 samples total)." title="" id="1" name="Picture"/>
            <a:graphic>
              <a:graphicData uri="http://schemas.openxmlformats.org/drawingml/2006/picture">
                <pic:pic>
                  <pic:nvPicPr>
                    <pic:cNvPr descr="R-outputs_UBC-forWater-MSc_HMc/figures/DOC_subbasin_boxplots.png" id="0" name="Picture"/>
                    <pic:cNvPicPr>
                      <a:picLocks noChangeArrowheads="1" noChangeAspect="1"/>
                    </pic:cNvPicPr>
                  </pic:nvPicPr>
                  <pic:blipFill>
                    <a:blip r:embed="rId74"/>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rPr>
          <w:i/>
        </w:rPr>
        <w:t xml:space="preserve">Dissolved organic carbon (DOC) concentrations across the Leech watershed over sixteen months, collected by standard grab sampling and on vertical racks (318 samples total).</w:t>
      </w:r>
    </w:p>
    <w:p>
      <w:pPr>
        <w:pStyle w:val="BodyText"/>
      </w:pPr>
      <w:r>
        <w:t xml:space="preserve"> </w:t>
      </w:r>
    </w:p>
    <w:p>
      <w:pPr>
        <w:pStyle w:val="BodyText"/>
      </w:pPr>
      <w:r>
        <w:t xml:space="preserve">As the Leech River Tunnel will be the point of diversion for future inter-basin transfers from Leech water supply area (LWSA) to the Sooke Reservoir basin, the Tunnel (site-6) is the effective outlet of the LWSA where runoff from each nested catchment is integrated. Similarly, Weeks Main Creek and Chris Creek (</w:t>
      </w:r>
      <w:r>
        <w:rPr>
          <w:i/>
        </w:rPr>
        <w:t xml:space="preserve">‘</w:t>
      </w:r>
      <w:r>
        <w:rPr>
          <w:i/>
        </w:rPr>
        <w:t xml:space="preserve">Weeks</w:t>
      </w:r>
      <w:r>
        <w:rPr>
          <w:i/>
        </w:rPr>
        <w:t xml:space="preserve">’</w:t>
      </w:r>
      <w:r>
        <w:t xml:space="preserve"> </w:t>
      </w:r>
      <w:r>
        <w:t xml:space="preserve">&amp;</w:t>
      </w:r>
      <w:r>
        <w:t xml:space="preserve"> </w:t>
      </w:r>
      <w:r>
        <w:rPr>
          <w:i/>
        </w:rPr>
        <w:t xml:space="preserve">‘</w:t>
      </w:r>
      <w:r>
        <w:rPr>
          <w:i/>
        </w:rPr>
        <w:t xml:space="preserve">ChrisCrk</w:t>
      </w:r>
      <w:r>
        <w:rPr>
          <w:i/>
        </w:rPr>
        <w:t xml:space="preserve">’</w:t>
      </w:r>
      <w:r>
        <w:t xml:space="preserve">, sites 1 &amp; 2) are integrated at (</w:t>
      </w:r>
      <w:r>
        <w:rPr>
          <w:i/>
        </w:rPr>
        <w:t xml:space="preserve">‘</w:t>
      </w:r>
      <w:r>
        <w:rPr>
          <w:i/>
        </w:rPr>
        <w:t xml:space="preserve">LeechHead</w:t>
      </w:r>
      <w:r>
        <w:rPr>
          <w:i/>
        </w:rPr>
        <w:t xml:space="preserve">’</w:t>
      </w:r>
      <w:r>
        <w:t xml:space="preserve">, site-3), which is just below the headwaters’ confluence. Table</w:t>
      </w:r>
      <w:r>
        <w:t xml:space="preserve"> </w:t>
      </w:r>
      <w:r>
        <w:t xml:space="preserve">11</w:t>
      </w:r>
      <w:r>
        <w:t xml:space="preserve"> </w:t>
      </w:r>
      <w:r>
        <w:t xml:space="preserve">summarizes the range and variability</w:t>
      </w:r>
      <w:r>
        <w:rPr>
          <w:rStyle w:val="FootnoteReference"/>
        </w:rPr>
        <w:footnoteReference w:id="75"/>
      </w:r>
      <w:r>
        <w:t xml:space="preserve"> </w:t>
      </w:r>
      <w:r>
        <w:t xml:space="preserve">in DOC within each site and among all sites, with categorical groupings of sub-basins.</w:t>
      </w:r>
    </w:p>
    <w:p>
      <w:pPr>
        <w:pStyle w:val="BodyText"/>
      </w:pPr>
      <w:r>
        <w:t xml:space="preserve"> </w:t>
      </w:r>
    </w:p>
    <w:p>
      <w:pPr>
        <w:pStyle w:val="TableCaption"/>
      </w:pPr>
      <w:r>
        <w:t xml:space="preserve">Table 11:</w:t>
      </w:r>
      <w:r>
        <w:t xml:space="preserve"> </w:t>
      </w:r>
      <w:r>
        <w:rPr>
          <w:i/>
        </w:rPr>
        <w:t xml:space="preserve">Summary of DOC across the six LWSA research sites with each nested catchment classified by basin type.</w:t>
      </w:r>
    </w:p>
    <w:tbl>
      <w:tblPr>
        <w:tblStyle w:val="Table"/>
        <w:tblW w:type="pct" w:w="0.0"/>
        <w:tblLook w:firstRow="1"/>
        <w:tblCaption w:val="Table 11: Summary of DOC across the six LWSA research sites with each nested catchment classified by basin typ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RSD in DOC observed at LeechHead was less than the DOC RSD in the two headwater sites upstream, and less than the RSD of both headwater sites combined. The relatively high DOC in the Weeks sub-basin was a driver for the wide range of DOC values for the headwaters. Despite the high RSD for headwaters sites, and the ~50% difference in area of these two sub-basins (Table</w:t>
      </w:r>
      <w:r>
        <w:t xml:space="preserve"> </w:t>
      </w:r>
      <w:r>
        <w:t xml:space="preserve">3</w:t>
      </w:r>
      <w:r>
        <w:t xml:space="preserve">, Section</w:t>
      </w:r>
      <w:r>
        <w:t xml:space="preserve"> </w:t>
      </w:r>
      <w:r>
        <w:t xml:space="preserve">5.2.2.2</w:t>
      </w:r>
      <w:r>
        <w:t xml:space="preserve">), median DOC observed at LeechHead was very near to the median for the headwaters sites. Overall, there was greater variance among headwater sites than there was at each site, whereas the variance observed at each mainstem river site was comparable to the variance among mainstems. Results of Levene’s test</w:t>
      </w:r>
      <w:r>
        <w:rPr>
          <w:rStyle w:val="FootnoteReference"/>
        </w:rPr>
        <w:footnoteReference w:id="76"/>
      </w:r>
      <w:r>
        <w:t xml:space="preserve"> </w:t>
      </w:r>
      <w:r>
        <w:t xml:space="preserve">confirmed that variance in DOC concentrations was not homogeneous across the six sites of the LWSA (p-value = 8.2</w:t>
      </w:r>
      <w:r>
        <w:rPr>
          <w:vertAlign w:val="superscript"/>
        </w:rPr>
        <w:t xml:space="preserve">-10</w:t>
      </w:r>
      <w:r>
        <w:t xml:space="preserve">).</w:t>
      </w:r>
    </w:p>
    <w:p>
      <w:pPr>
        <w:pStyle w:val="BodyText"/>
      </w:pPr>
      <w:r>
        <w:t xml:space="preserve">To identify which pairs of sites had equal DOC variance (or were heteroscedastic), Levene’s test was applied to sample DOC results. Table</w:t>
      </w:r>
      <w:r>
        <w:t xml:space="preserve"> </w:t>
      </w:r>
      <w:r>
        <w:t xml:space="preserve">12</w:t>
      </w:r>
      <w:r>
        <w:t xml:space="preserve"> </w:t>
      </w:r>
      <w:r>
        <w:t xml:space="preserve">classifies each site comparison by basin-type and summarizes resulting Levene’s test p-values for each pair. Of the nine comparisons made among the six sites, West Leech River (</w:t>
      </w:r>
      <w:r>
        <w:rPr>
          <w:i/>
        </w:rPr>
        <w:t xml:space="preserve">‘</w:t>
      </w:r>
      <w:r>
        <w:rPr>
          <w:i/>
        </w:rPr>
        <w:t xml:space="preserve">WestLeech</w:t>
      </w:r>
      <w:r>
        <w:rPr>
          <w:i/>
        </w:rPr>
        <w:t xml:space="preserve">’</w:t>
      </w:r>
      <w:r>
        <w:t xml:space="preserve">, site-5) and Weeks Main Creek (</w:t>
      </w:r>
      <w:r>
        <w:rPr>
          <w:i/>
        </w:rPr>
        <w:t xml:space="preserve">‘</w:t>
      </w:r>
      <w:r>
        <w:rPr>
          <w:i/>
        </w:rPr>
        <w:t xml:space="preserve">Weeks</w:t>
      </w:r>
      <w:r>
        <w:rPr>
          <w:i/>
        </w:rPr>
        <w:t xml:space="preserve">’</w:t>
      </w:r>
      <w:r>
        <w:t xml:space="preserve">, site-1) did not have homogeneous variance when compared with any other sites; all other combinations of sites showed homoscedasticity. Both of these sub-basins drain the west side of LWSA.</w:t>
      </w:r>
    </w:p>
    <w:p>
      <w:pPr>
        <w:pStyle w:val="BodyText"/>
      </w:pPr>
      <w:r>
        <w:t xml:space="preserve"> </w:t>
      </w:r>
    </w:p>
    <w:p>
      <w:pPr>
        <w:pStyle w:val="TableCaption"/>
      </w:pPr>
      <w:r>
        <w:t xml:space="preserve">Table 12:</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12: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BodyText"/>
      </w:pPr>
      <w:r>
        <w:t xml:space="preserve"> </w:t>
      </w:r>
    </w:p>
    <w:p>
      <w:pPr>
        <w:pStyle w:val="Heading4"/>
      </w:pPr>
      <w:bookmarkStart w:id="77" w:name="Xc2630683f9dc53106c8f6f2575ed377c9a57537"/>
      <w:r>
        <w:t xml:space="preserve">Spatiotemporal synchrony in local extrema: river stage and DOC</w:t>
      </w:r>
      <w:bookmarkEnd w:id="77"/>
    </w:p>
    <w:p>
      <w:pPr>
        <w:pStyle w:val="FirstParagraph"/>
      </w:pPr>
      <w:r>
        <w:t xml:space="preserve">Streams responded harmoniously to precipitation across the LWSA, with synchronous changes in stage; was the same harmony present for fluctuations in DOC? Aqueous DOC was quantified from discrete river samples, and therefore the temporal synchrony of peaks could not be evaluated in the same manner as stage, which was continuously recorded. However, because each sample was matched to stage and had a corresponding time-stamp, temporal synchrony in DOC could be inferred based on relationships between peak DOC and stage.</w:t>
      </w:r>
    </w:p>
    <w:p>
      <w:pPr>
        <w:pStyle w:val="BodyText"/>
      </w:pPr>
      <w:r>
        <w:t xml:space="preserve">?</w:t>
      </w:r>
      <w:r>
        <w:t xml:space="preserve"> </w:t>
      </w:r>
      <w:r>
        <w:t xml:space="preserve">If peak DOC consistently corresponded to peak sample stage, and low DOC consistently corresponded to low stage, it could be inferred that DOC fluctuated with similar synchrony to stage. That is, if DOC extrema were in synch with stage extrema at each site – and stage is know to vary synchronously across the LWSA – then we can assume that DOC follows the same trends across the LWSA.</w:t>
      </w:r>
      <w:r>
        <w:br/>
      </w:r>
      <w:r>
        <w:t xml:space="preserve">?</w:t>
      </w:r>
    </w:p>
    <w:p>
      <w:pPr>
        <w:pStyle w:val="BodyText"/>
      </w:pPr>
      <w:r>
        <w:t xml:space="preserve">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Extrema samples for DOC and stage were compared to determine how often their samples corresponded. Table</w:t>
      </w:r>
      <w:r>
        <w:t xml:space="preserve"> </w:t>
      </w:r>
      <w:r>
        <w:t xml:space="preserve">13</w:t>
      </w:r>
      <w:r>
        <w:t xml:space="preserve"> </w:t>
      </w:r>
      <w:r>
        <w:t xml:space="preserve">summarized the results, where a proportion of 1 indicates perfect agreement between samples of extreme DOC and sample-stage, and zero indicates complete asynchrony between DOC and stage.</w:t>
      </w:r>
    </w:p>
    <w:p>
      <w:pPr>
        <w:pStyle w:val="BodyText"/>
      </w:pPr>
      <w:r>
        <w:t xml:space="preserve"> </w:t>
      </w:r>
    </w:p>
    <w:p>
      <w:pPr>
        <w:pStyle w:val="TableCaption"/>
      </w:pPr>
      <w:r>
        <w:t xml:space="preserve">Table 13:</w:t>
      </w:r>
      <w:r>
        <w:t xml:space="preserve"> </w:t>
      </w:r>
      <w:r>
        <w:rPr>
          <w:i/>
        </w:rPr>
        <w:t xml:space="preserve">Proportion of samples for which peak DOC was found in the highest sample stage.</w:t>
      </w:r>
    </w:p>
    <w:tbl>
      <w:tblPr>
        <w:tblStyle w:val="Table"/>
        <w:tblW w:type="pct" w:w="0.0"/>
        <w:tblLook w:firstRow="1"/>
        <w:tblCaption w:val="Table 13: Proportion of samples for which peak DOC was found in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The majority of samples showed congruence between peaks and lows of DOC and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w:t>
      </w:r>
      <w:r>
        <w:t xml:space="preserve"> </w:t>
      </w:r>
      <w:r>
        <w:t xml:space="preserve">16</w:t>
      </w:r>
      <w:r>
        <w:t xml:space="preserve"> </w:t>
      </w:r>
      <w:r>
        <w:t xml:space="preserve">shows the extrama samples with stage at each site.</w:t>
      </w:r>
    </w:p>
    <w:p>
      <w:pPr>
        <w:pStyle w:val="BodyText"/>
      </w:pPr>
      <w:r>
        <w:t xml:space="preserve"> </w:t>
      </w:r>
    </w:p>
    <w:p>
      <w:pPr>
        <w:pStyle w:val="CaptionedFigure"/>
      </w:pPr>
      <w:r>
        <w:drawing>
          <wp:inline>
            <wp:extent cx="5943600" cy="6339839"/>
            <wp:effectExtent b="0" l="0" r="0" t="0"/>
            <wp:docPr descr="Figure 16: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78"/>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rPr>
          <w:i/>
        </w:rP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To better understand how timing of peak DOC varied among sites during the wet season, a subset of samples was selected for closer analysis (highlighted in Figure</w:t>
      </w:r>
      <w:r>
        <w:t xml:space="preserve"> </w:t>
      </w:r>
      <w:r>
        <w:t xml:space="preserve">16</w:t>
      </w:r>
      <w:r>
        <w:t xml:space="preserve"> </w:t>
      </w:r>
      <w:r>
        <w:t xml:space="preserve">and expanded in Figure</w:t>
      </w:r>
      <w:r>
        <w:t xml:space="preserve"> </w:t>
      </w:r>
      <w:r>
        <w:t xml:space="preserve">17</w:t>
      </w:r>
      <w:r>
        <w:t xml:space="preserve">).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w:t>
      </w:r>
      <w:r>
        <w:t xml:space="preserve"> </w:t>
      </w:r>
      <w:r>
        <w:t xml:space="preserve">14</w:t>
      </w:r>
      <w:r>
        <w:t xml:space="preserve">). There were significant differences in UV</w:t>
      </w:r>
      <w:r>
        <w:rPr>
          <w:vertAlign w:val="subscript"/>
        </w:rPr>
        <w:t xml:space="preserve">254</w:t>
      </w:r>
      <w:r>
        <w:t xml:space="preserve"> </w:t>
      </w:r>
      <w:r>
        <w:t xml:space="preserve">absorbance for events 10-12 compared to the rest of the study period, therefore this subset was not considered representative of spectral trends overall and was only examined for DOC trends.</w:t>
      </w:r>
    </w:p>
    <w:p>
      <w:pPr>
        <w:pStyle w:val="BodyText"/>
      </w:pPr>
      <w:r>
        <w:t xml:space="preserve"> </w:t>
      </w:r>
    </w:p>
    <w:p>
      <w:pPr>
        <w:pStyle w:val="TableCaption"/>
      </w:pPr>
      <w:r>
        <w:t xml:space="preserve">Table 14:</w:t>
      </w:r>
      <w:r>
        <w:t xml:space="preserve"> </w:t>
      </w:r>
      <w:r>
        <w:rPr>
          <w:i/>
        </w:rPr>
        <w:t xml:space="preserve">p-values from Wilcoxon tests comparing the subset of rain events 10-12 and those samples’ DOC results to all other sampled rain events, showing no significant difference between the groups.</w:t>
      </w:r>
    </w:p>
    <w:tbl>
      <w:tblPr>
        <w:tblStyle w:val="Table"/>
        <w:tblW w:type="pct" w:w="0.0"/>
        <w:tblLook w:firstRow="1"/>
        <w:tblCaption w:val="Table 14: p-values from Wilcoxon tests comparing the subset of rain events 10-12 and those samples’ DOC results to all other sampled rain events, showing no significant difference between the group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left"/>
            </w:pPr>
            <w:r>
              <w:t xml:space="preserve">DOC (mg/L)</w:t>
            </w:r>
          </w:p>
        </w:tc>
        <w:tc>
          <w:p>
            <w:pPr>
              <w:pStyle w:val="Compact"/>
              <w:jc w:val="right"/>
            </w:pPr>
            <w:r>
              <w:t xml:space="preserve">0.3469</w:t>
            </w:r>
          </w:p>
        </w:tc>
      </w:tr>
      <w:tr>
        <w:tc>
          <w:p>
            <w:pPr>
              <w:pStyle w:val="Compact"/>
              <w:jc w:val="left"/>
            </w:pPr>
            <w:r>
              <w:t xml:space="preserve">ChrisCrk</w:t>
            </w:r>
          </w:p>
        </w:tc>
        <w:tc>
          <w:p>
            <w:pPr>
              <w:pStyle w:val="Compact"/>
              <w:jc w:val="left"/>
            </w:pPr>
            <w:r>
              <w:t xml:space="preserve">DOC (mg/L)</w:t>
            </w:r>
          </w:p>
        </w:tc>
        <w:tc>
          <w:p>
            <w:pPr>
              <w:pStyle w:val="Compact"/>
              <w:jc w:val="right"/>
            </w:pPr>
            <w:r>
              <w:t xml:space="preserve">0.4864</w:t>
            </w:r>
          </w:p>
        </w:tc>
      </w:tr>
      <w:tr>
        <w:tc>
          <w:p>
            <w:pPr>
              <w:pStyle w:val="Compact"/>
              <w:jc w:val="left"/>
            </w:pPr>
            <w:r>
              <w:t xml:space="preserve">LeechHead</w:t>
            </w:r>
          </w:p>
        </w:tc>
        <w:tc>
          <w:p>
            <w:pPr>
              <w:pStyle w:val="Compact"/>
              <w:jc w:val="left"/>
            </w:pPr>
            <w:r>
              <w:t xml:space="preserve">DOC (mg/L)</w:t>
            </w:r>
          </w:p>
        </w:tc>
        <w:tc>
          <w:p>
            <w:pPr>
              <w:pStyle w:val="Compact"/>
              <w:jc w:val="right"/>
            </w:pPr>
            <w:r>
              <w:t xml:space="preserve">0.1514</w:t>
            </w:r>
          </w:p>
        </w:tc>
      </w:tr>
      <w:tr>
        <w:tc>
          <w:p>
            <w:pPr>
              <w:pStyle w:val="Compact"/>
              <w:jc w:val="left"/>
            </w:pPr>
            <w:r>
              <w:t xml:space="preserve">CraggCrk</w:t>
            </w:r>
          </w:p>
        </w:tc>
        <w:tc>
          <w:p>
            <w:pPr>
              <w:pStyle w:val="Compact"/>
              <w:jc w:val="left"/>
            </w:pPr>
            <w:r>
              <w:t xml:space="preserve">DOC (mg/L)</w:t>
            </w:r>
          </w:p>
        </w:tc>
        <w:tc>
          <w:p>
            <w:pPr>
              <w:pStyle w:val="Compact"/>
              <w:jc w:val="right"/>
            </w:pPr>
            <w:r>
              <w:t xml:space="preserve">0.9821</w:t>
            </w:r>
          </w:p>
        </w:tc>
      </w:tr>
      <w:tr>
        <w:tc>
          <w:p>
            <w:pPr>
              <w:pStyle w:val="Compact"/>
              <w:jc w:val="left"/>
            </w:pPr>
            <w:r>
              <w:t xml:space="preserve">WestLeech</w:t>
            </w:r>
          </w:p>
        </w:tc>
        <w:tc>
          <w:p>
            <w:pPr>
              <w:pStyle w:val="Compact"/>
              <w:jc w:val="left"/>
            </w:pPr>
            <w:r>
              <w:t xml:space="preserve">DOC (mg/L)</w:t>
            </w:r>
          </w:p>
        </w:tc>
        <w:tc>
          <w:p>
            <w:pPr>
              <w:pStyle w:val="Compact"/>
              <w:jc w:val="right"/>
            </w:pPr>
            <w:r>
              <w:t xml:space="preserve">0.8507</w:t>
            </w:r>
          </w:p>
        </w:tc>
      </w:tr>
      <w:tr>
        <w:tc>
          <w:p>
            <w:pPr>
              <w:pStyle w:val="Compact"/>
              <w:jc w:val="left"/>
            </w:pPr>
            <w:r>
              <w:t xml:space="preserve">Tunnel</w:t>
            </w:r>
          </w:p>
        </w:tc>
        <w:tc>
          <w:p>
            <w:pPr>
              <w:pStyle w:val="Compact"/>
              <w:jc w:val="left"/>
            </w:pPr>
            <w:r>
              <w:t xml:space="preserve">DOC (mg/L)</w:t>
            </w:r>
          </w:p>
        </w:tc>
        <w:tc>
          <w:p>
            <w:pPr>
              <w:pStyle w:val="Compact"/>
              <w:jc w:val="right"/>
            </w:pPr>
            <w:r>
              <w:t xml:space="preserve">0.0613</w:t>
            </w:r>
          </w:p>
        </w:tc>
      </w:tr>
      <w:tr>
        <w:tc>
          <w:p>
            <w:pPr>
              <w:pStyle w:val="Compact"/>
              <w:jc w:val="left"/>
            </w:pPr>
            <w:r>
              <w:t xml:space="preserve">LWSA</w:t>
            </w:r>
          </w:p>
        </w:tc>
        <w:tc>
          <w:p>
            <w:pPr>
              <w:pStyle w:val="Compact"/>
              <w:jc w:val="left"/>
            </w:pPr>
            <w:r>
              <w:t xml:space="preserve">Rain (mm)</w:t>
            </w:r>
          </w:p>
        </w:tc>
        <w:tc>
          <w:p>
            <w:pPr>
              <w:pStyle w:val="Compact"/>
              <w:jc w:val="right"/>
            </w:pPr>
            <w:r>
              <w:t xml:space="preserve">0.5735</w:t>
            </w:r>
          </w:p>
        </w:tc>
      </w:tr>
      <w:tr>
        <w:tc>
          <w:p>
            <w:pPr>
              <w:pStyle w:val="Compact"/>
              <w:jc w:val="left"/>
            </w:pPr>
            <w:r>
              <w:t xml:space="preserve">LWSA</w:t>
            </w:r>
          </w:p>
        </w:tc>
        <w:tc>
          <w:p>
            <w:pPr>
              <w:pStyle w:val="Compact"/>
              <w:jc w:val="left"/>
            </w:pPr>
            <w:r>
              <w:t xml:space="preserve">Intensity (mm/hr)</w:t>
            </w:r>
          </w:p>
        </w:tc>
        <w:tc>
          <w:p>
            <w:pPr>
              <w:pStyle w:val="Compact"/>
              <w:jc w:val="right"/>
            </w:pPr>
            <w:r>
              <w:t xml:space="preserve">0.4265</w:t>
            </w:r>
          </w:p>
        </w:tc>
      </w:tr>
    </w:tbl>
    <w:p>
      <w:pPr>
        <w:pStyle w:val="BodyText"/>
      </w:pPr>
      <w:r>
        <w:t xml:space="preserve"> </w:t>
      </w:r>
    </w:p>
    <w:p>
      <w:pPr>
        <w:pStyle w:val="CaptionedFigure"/>
      </w:pPr>
      <w:r>
        <w:drawing>
          <wp:inline>
            <wp:extent cx="5943600" cy="5943600"/>
            <wp:effectExtent b="0" l="0" r="0" t="0"/>
            <wp:docPr descr="Figure 17:  Stage and samples collected for the subset of samples collected over rain events 9-12, highlighting samples with maximum and minimum DOC concentrations for each rain event and collection period." title="" id="1" name="Picture"/>
            <a:graphic>
              <a:graphicData uri="http://schemas.openxmlformats.org/drawingml/2006/picture">
                <pic:pic>
                  <pic:nvPicPr>
                    <pic:cNvPr descr="R-outputs_UBC-forWater-MSc_HMc/figures/narrow_events_9-12_peakDOC-stage.png" id="0" name="Picture"/>
                    <pic:cNvPicPr>
                      <a:picLocks noChangeArrowheads="1" noChangeAspect="1"/>
                    </pic:cNvPicPr>
                  </pic:nvPicPr>
                  <pic:blipFill>
                    <a:blip r:embed="rId7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rPr>
          <w:i/>
        </w:rPr>
        <w:t xml:space="preserve">Stage and samples collected for the subset of samples collected over rain events 9-12, highlighting samples with maximum and minimum DOC concentrations for each rain event and collection period.</w:t>
      </w:r>
    </w:p>
    <w:p>
      <w:pPr>
        <w:pStyle w:val="BodyText"/>
      </w:pPr>
      <w:r>
        <w:br/>
      </w:r>
    </w:p>
    <w:p>
      <w:pPr>
        <w:pStyle w:val="BodyText"/>
      </w:pPr>
      <w:r>
        <w:t xml:space="preserve">…</w:t>
      </w:r>
      <w:r>
        <w:t xml:space="preserve"> </w:t>
      </w:r>
      <w:r>
        <w:rPr>
          <w:i/>
        </w:rPr>
        <w:t xml:space="preserve">THIS SECTION IS UNDER CONSTRUCTION</w:t>
      </w:r>
      <w:r>
        <w:t xml:space="preserve"> </w:t>
      </w:r>
      <w:r>
        <w:t xml:space="preserve">…</w:t>
      </w:r>
    </w:p>
    <w:p>
      <w:pPr>
        <w:pStyle w:val="Compact"/>
        <w:numPr>
          <w:numId w:val="1004"/>
          <w:ilvl w:val="0"/>
        </w:numPr>
      </w:pPr>
      <w:r>
        <w:t xml:space="preserve">time to peak</w:t>
      </w:r>
    </w:p>
    <w:p>
      <w:pPr>
        <w:pStyle w:val="Compact"/>
        <w:numPr>
          <w:numId w:val="1004"/>
          <w:ilvl w:val="0"/>
        </w:numPr>
      </w:pPr>
      <w:r>
        <w:t xml:space="preserve">range of DOC in each event</w:t>
      </w:r>
    </w:p>
    <w:p>
      <w:pPr>
        <w:pStyle w:val="Heading4"/>
      </w:pPr>
      <w:bookmarkStart w:id="80" w:name="temporal-trends-in-doc-seasonality"/>
      <w:r>
        <w:t xml:space="preserve">Temporal trends in DOC: seasonality</w:t>
      </w:r>
      <w:bookmarkEnd w:id="80"/>
    </w:p>
    <w:p>
      <w:pPr>
        <w:pStyle w:val="FirstParagraph"/>
      </w:pPr>
      <w:r>
        <w:t xml:space="preserve">Over the study period, DOC concentrations followed similar trends across each of the six LWSA sites (Figure</w:t>
      </w:r>
      <w:r>
        <w:t xml:space="preserve"> </w:t>
      </w:r>
      <w:r>
        <w:t xml:space="preserve">18</w:t>
      </w:r>
      <w:r>
        <w:t xml:space="preserve">). DOC was highest early in the wet season and progressively decreased through the fall and winter, reaching minimum concentrations in the spring before progressively increasing again through the summer.</w:t>
      </w:r>
    </w:p>
    <w:p>
      <w:pPr>
        <w:pStyle w:val="BodyText"/>
      </w:pPr>
      <w:r>
        <w:t xml:space="preserve"> </w:t>
      </w:r>
    </w:p>
    <w:p>
      <w:pPr>
        <w:pStyle w:val="CaptionedFigure"/>
      </w:pPr>
      <w:r>
        <w:drawing>
          <wp:inline>
            <wp:extent cx="5504749" cy="5504749"/>
            <wp:effectExtent b="0" l="0" r="0" t="0"/>
            <wp:docPr descr="Figure 18:  Trends in dissolved organic carbon concentrations over sixteen months (Oct 2018 to Feb 2020) at six sites across the Leech water supply area (n = 367: 166 grab samples, 201 vertical rack samples." title="" id="1" name="Picture"/>
            <a:graphic>
              <a:graphicData uri="http://schemas.openxmlformats.org/drawingml/2006/picture">
                <pic:pic>
                  <pic:nvPicPr>
                    <pic:cNvPr descr="R-outputs_UBC-forWater-MSc_HMc/figures/DOC_trend_bassin-type-facet_loess.png" id="0" name="Picture"/>
                    <pic:cNvPicPr>
                      <a:picLocks noChangeArrowheads="1" noChangeAspect="1"/>
                    </pic:cNvPicPr>
                  </pic:nvPicPr>
                  <pic:blipFill>
                    <a:blip r:embed="rId8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rPr>
          <w:i/>
        </w:rPr>
        <w:t xml:space="preserve">Trends in dissolved organic carbon concentrations over sixteen months (Oct 2018 to Feb 2020) at six sites across the Leech water supply area (n = 367: 166 grab samples, 201 vertical rack samples.</w:t>
      </w:r>
    </w:p>
    <w:p>
      <w:pPr>
        <w:pStyle w:val="BodyText"/>
      </w:pPr>
      <w:r>
        <w:t xml:space="preserve"> </w:t>
      </w:r>
    </w:p>
    <w:p>
      <w:pPr>
        <w:pStyle w:val="BodyText"/>
      </w:pPr>
      <w:r>
        <w:t xml:space="preserve">Overall, there was very little difference between mean DOC concentration through the wet season (6.2 ± 3 mg/L) compared to the dry season (5.5 ± 3 mg/L). However, there were far fewer samples collected in the dry season than during the wet season (Figure</w:t>
      </w:r>
      <w:r>
        <w:t xml:space="preserve"> </w:t>
      </w:r>
      <w:r>
        <w:t xml:space="preserve">19</w:t>
      </w:r>
      <w:r>
        <w:t xml:space="preserve">.</w:t>
      </w:r>
    </w:p>
    <w:p>
      <w:pPr>
        <w:pStyle w:val="BodyText"/>
      </w:pPr>
      <w:r>
        <w:t xml:space="preserve"> </w:t>
      </w:r>
    </w:p>
    <w:p>
      <w:pPr>
        <w:pStyle w:val="CaptionedFigure"/>
      </w:pPr>
      <w:r>
        <w:drawing>
          <wp:inline>
            <wp:extent cx="5504749" cy="3211103"/>
            <wp:effectExtent b="0" l="0" r="0" t="0"/>
            <wp:docPr descr="Figure 19:  Boxplots of DOC concentrations at six LWSA sites during dry and wet seasons." title="" id="1" name="Picture"/>
            <a:graphic>
              <a:graphicData uri="http://schemas.openxmlformats.org/drawingml/2006/picture">
                <pic:pic>
                  <pic:nvPicPr>
                    <pic:cNvPr descr="R-outputs_UBC-forWater-MSc_HMc/figures/DOC_seasonal-subbasin_boxplots.png" id="0" name="Picture"/>
                    <pic:cNvPicPr>
                      <a:picLocks noChangeArrowheads="1" noChangeAspect="1"/>
                    </pic:cNvPicPr>
                  </pic:nvPicPr>
                  <pic:blipFill>
                    <a:blip r:embed="rId82"/>
                    <a:stretch>
                      <a:fillRect/>
                    </a:stretch>
                  </pic:blipFill>
                  <pic:spPr bwMode="auto">
                    <a:xfrm>
                      <a:off x="0" y="0"/>
                      <a:ext cx="5504749" cy="3211103"/>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rPr>
          <w:i/>
        </w:rPr>
        <w:t xml:space="preserve">Boxplots of DOC concentrations at six LWSA sites during dry and wet seasons.</w:t>
      </w:r>
    </w:p>
    <w:p>
      <w:pPr>
        <w:pStyle w:val="BodyText"/>
      </w:pPr>
      <w:r>
        <w:t xml:space="preserve"> </w:t>
      </w:r>
    </w:p>
    <w:p>
      <w:pPr>
        <w:pStyle w:val="CaptionedFigure"/>
      </w:pPr>
      <w:r>
        <w:drawing>
          <wp:inline>
            <wp:extent cx="5943600" cy="3668888"/>
            <wp:effectExtent b="0" l="0" r="0" t="0"/>
            <wp:docPr descr="Figure 20:  Density distribution of dissolved organic carbon concentrations at six sites over sixteen months across the Leech water supply area, where sample results are grouped by dry season (n = 53) and wet season (n = 314)." title="" id="1" name="Picture"/>
            <a:graphic>
              <a:graphicData uri="http://schemas.openxmlformats.org/drawingml/2006/picture">
                <pic:pic>
                  <pic:nvPicPr>
                    <pic:cNvPr descr="R-outputs_UBC-forWater-MSc_HMc/figures/DOC_seasonal-subbasin-ridgeplot.png" id="0" name="Picture"/>
                    <pic:cNvPicPr>
                      <a:picLocks noChangeArrowheads="1" noChangeAspect="1"/>
                    </pic:cNvPicPr>
                  </pic:nvPicPr>
                  <pic:blipFill>
                    <a:blip r:embed="rId83"/>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rPr>
          <w:i/>
        </w:rPr>
        <w:t xml:space="preserve">Density distribution of dissolved organic carbon concentrations at six sites over sixteen months across the Leech water supply area, where sample results are grouped by dry season (n = 53) and wet season (n = 314).</w:t>
      </w:r>
    </w:p>
    <w:p>
      <w:pPr>
        <w:pStyle w:val="BodyText"/>
      </w:pPr>
      <w:r>
        <w:t xml:space="preserve"> </w:t>
      </w:r>
    </w:p>
    <w:p>
      <w:pPr>
        <w:pStyle w:val="Heading4"/>
      </w:pPr>
      <w:bookmarkStart w:id="84" w:name="stormflow-representation"/>
      <w:r>
        <w:t xml:space="preserve">Stormflow representation</w:t>
      </w:r>
      <w:bookmarkEnd w:id="84"/>
    </w:p>
    <w:p>
      <w:pPr>
        <w:pStyle w:val="FirstParagraph"/>
      </w:pPr>
      <w:r>
        <w:t xml:space="preserve">During the wet season, rain events are the dominant hydrologic forcing. Table</w:t>
      </w:r>
      <w:r>
        <w:t xml:space="preserve"> </w:t>
      </w:r>
      <w:r>
        <w:t xml:space="preserve">15</w:t>
      </w:r>
      <w:r>
        <w:t xml:space="preserve"> </w:t>
      </w:r>
      <w:r>
        <w:t xml:space="preserve">summarizes the number of samples collected across the LWSA sub-basin sites by sample type.</w:t>
      </w:r>
    </w:p>
    <w:p>
      <w:pPr>
        <w:pStyle w:val="BodyText"/>
      </w:pPr>
      <w:r>
        <w:t xml:space="preserve"> </w:t>
      </w:r>
    </w:p>
    <w:p>
      <w:pPr>
        <w:pStyle w:val="TableCaption"/>
      </w:pPr>
      <w:r>
        <w:t xml:space="preserve">Table 15:</w:t>
      </w:r>
      <w:r>
        <w:t xml:space="preserve"> </w:t>
      </w:r>
      <w:r>
        <w:rPr>
          <w:i/>
        </w:rPr>
        <w:t xml:space="preserve">Summary of wet-season samples collected across LWSA subbasin sites from Oct 2018 to Feb 2020</w:t>
      </w:r>
    </w:p>
    <w:tbl>
      <w:tblPr>
        <w:tblStyle w:val="Table"/>
        <w:tblW w:type="pct" w:w="0.0"/>
        <w:tblLook w:firstRow="1"/>
        <w:tblCaption w:val="Table 15: Summary of wet-season samples collected across LWSA subbasin sites from Oct 2018 to Feb 202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Count</w:t>
            </w:r>
          </w:p>
        </w:tc>
      </w:tr>
      <w:tr>
        <w:tc>
          <w:p>
            <w:pPr>
              <w:pStyle w:val="Compact"/>
              <w:jc w:val="left"/>
            </w:pPr>
            <w:r>
              <w:t xml:space="preserve">NA</w:t>
            </w:r>
          </w:p>
        </w:tc>
        <w:tc>
          <w:p>
            <w:pPr>
              <w:pStyle w:val="Compact"/>
              <w:jc w:val="left"/>
            </w:pPr>
            <w:r>
              <w:t xml:space="preserve">NA</w:t>
            </w:r>
          </w:p>
        </w:tc>
        <w:tc>
          <w:p>
            <w:pPr>
              <w:pStyle w:val="Compact"/>
              <w:jc w:val="right"/>
            </w:pPr>
            <w:r>
              <w:t xml:space="preserve">0</w:t>
            </w:r>
          </w:p>
        </w:tc>
      </w:tr>
      <w:tr>
        <w:tc>
          <w:p>
            <w:pPr>
              <w:pStyle w:val="Compact"/>
              <w:jc w:val="left"/>
            </w:pPr>
            <w:r>
              <w:t xml:space="preserve">TOTAL</w:t>
            </w:r>
          </w:p>
        </w:tc>
        <w:tc>
          <w:p>
            <w:pPr>
              <w:pStyle w:val="Compact"/>
              <w:jc w:val="left"/>
            </w:pPr>
            <w:r>
              <w:t xml:space="preserve">NA</w:t>
            </w:r>
          </w:p>
        </w:tc>
        <w:tc>
          <w:p>
            <w:pPr>
              <w:pStyle w:val="Compact"/>
              <w:jc w:val="right"/>
            </w:pPr>
            <w:r>
              <w:t xml:space="preserve">0</w:t>
            </w:r>
          </w:p>
        </w:tc>
      </w:tr>
      <w:tr>
        <w:tc>
          <w:p>
            <w:pPr>
              <w:pStyle w:val="Compact"/>
              <w:jc w:val="left"/>
            </w:pPr>
            <w:r>
              <w:t xml:space="preserve">TOTAL</w:t>
            </w:r>
          </w:p>
        </w:tc>
        <w:tc>
          <w:p>
            <w:pPr>
              <w:pStyle w:val="Compact"/>
              <w:jc w:val="left"/>
            </w:pPr>
            <w:r>
              <w:t xml:space="preserve">NA</w:t>
            </w:r>
          </w:p>
        </w:tc>
        <w:tc>
          <w:p>
            <w:pPr>
              <w:pStyle w:val="Compact"/>
              <w:jc w:val="right"/>
            </w:pPr>
            <w:r>
              <w:t xml:space="preserve">0</w:t>
            </w:r>
          </w:p>
        </w:tc>
      </w:tr>
    </w:tbl>
    <w:p>
      <w:pPr>
        <w:pStyle w:val="BodyText"/>
      </w:pPr>
      <w:r>
        <w:t xml:space="preserve"> </w:t>
      </w:r>
    </w:p>
    <w:p>
      <w:pPr>
        <w:pStyle w:val="BodyText"/>
      </w:pPr>
      <w:r>
        <w:t xml:space="preserve">Stormflow samples collected during stream rise via vertical Racks showed higher DOC than Grab samples manually collected across wet seasons (Figure</w:t>
      </w:r>
      <w:r>
        <w:t xml:space="preserve"> </w:t>
      </w:r>
      <w:r>
        <w:t xml:space="preserve">21</w:t>
      </w:r>
      <w:r>
        <w:t xml:space="preserve"> </w:t>
      </w:r>
      <w:r>
        <w:t xml:space="preserve">&amp;</w:t>
      </w:r>
      <w:r>
        <w:t xml:space="preserve"> </w:t>
      </w:r>
      <w:r>
        <w:t xml:space="preserve">22</w:t>
      </w:r>
      <w:r>
        <w:t xml:space="preserve">). Results of wet-season sample analysis are summarized in Table</w:t>
      </w:r>
      <w:r>
        <w:t xml:space="preserve"> </w:t>
      </w:r>
      <w:r>
        <w:t xml:space="preserve">16</w:t>
      </w:r>
      <w:r>
        <w:t xml:space="preserve">.</w:t>
      </w:r>
    </w:p>
    <w:p>
      <w:pPr>
        <w:pStyle w:val="BodyText"/>
      </w:pPr>
      <w:r>
        <w:t xml:space="preserve"> </w:t>
      </w:r>
    </w:p>
    <w:p>
      <w:pPr>
        <w:pStyle w:val="CaptionedFigure"/>
      </w:pPr>
      <w:r>
        <w:drawing>
          <wp:inline>
            <wp:extent cx="5943600" cy="3668888"/>
            <wp:effectExtent b="0" l="0" r="0" t="0"/>
            <wp:docPr descr="Figure 21:  Wet-season dissolved organic carbon concentrations grouped by site and sample collection method, where Grab samples were manually obtained (n = 114) and Rack samples were collected passively on vertical racks fit with siphon sampler bottles (n = 200)." title="" id="1" name="Picture"/>
            <a:graphic>
              <a:graphicData uri="http://schemas.openxmlformats.org/drawingml/2006/picture">
                <pic:pic>
                  <pic:nvPicPr>
                    <pic:cNvPr descr="R-outputs_UBC-forWater-MSc_HMc/figures/DOC_subbasin_GvsR_boxplot.png" id="0" name="Picture"/>
                    <pic:cNvPicPr>
                      <a:picLocks noChangeArrowheads="1" noChangeAspect="1"/>
                    </pic:cNvPicPr>
                  </pic:nvPicPr>
                  <pic:blipFill>
                    <a:blip r:embed="rId85"/>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rPr>
          <w:i/>
        </w:rPr>
        <w:t xml:space="preserve">Wet-season dissolved organic carbon concentrations grouped by site and sample collection method, where Grab samples were manually obtained (n = 114) and Rack samples were collected passively on vertical racks fit with siphon sampler bottles (n = 200).</w:t>
      </w:r>
    </w:p>
    <w:p>
      <w:pPr>
        <w:pStyle w:val="BodyText"/>
      </w:pPr>
      <w:r>
        <w:t xml:space="preserve"> </w:t>
      </w:r>
    </w:p>
    <w:p>
      <w:pPr>
        <w:pStyle w:val="CaptionedFigure"/>
      </w:pPr>
      <w:r>
        <w:drawing>
          <wp:inline>
            <wp:extent cx="5943600" cy="3668888"/>
            <wp:effectExtent b="0" l="0" r="0" t="0"/>
            <wp:docPr descr="Figure 22:  Density distribution of dissolved organic carbon concentrations grouped by site and sample collection method, where Grab samples were manually obtained (n = 114) and Rack samples were collected passively on vertical racks fit with siphon sampler bottles (n = 200)." title="" id="1" name="Picture"/>
            <a:graphic>
              <a:graphicData uri="http://schemas.openxmlformats.org/drawingml/2006/picture">
                <pic:pic>
                  <pic:nvPicPr>
                    <pic:cNvPr descr="R-outputs_UBC-forWater-MSc_HMc/figures/DOC_subbasin-ridgeplot_GvsR.png" id="0" name="Picture"/>
                    <pic:cNvPicPr>
                      <a:picLocks noChangeArrowheads="1" noChangeAspect="1"/>
                    </pic:cNvPicPr>
                  </pic:nvPicPr>
                  <pic:blipFill>
                    <a:blip r:embed="rId86"/>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rPr>
          <w:i/>
        </w:rPr>
        <w:t xml:space="preserve">Density distribution of dissolved organic carbon concentrations grouped by site and sample collection method, where Grab samples were manually obtained (n = 114) and Rack samples were collected passively on vertical racks fit with siphon sampler bottles (n = 200).</w:t>
      </w:r>
    </w:p>
    <w:p>
      <w:pPr>
        <w:pStyle w:val="BodyText"/>
      </w:pPr>
      <w:r>
        <w:t xml:space="preserve"> </w:t>
      </w:r>
    </w:p>
    <w:p>
      <w:pPr>
        <w:pStyle w:val="TableCaption"/>
      </w:pPr>
      <w:r>
        <w:t xml:space="preserve">Table 16:</w:t>
      </w:r>
      <w:r>
        <w:t xml:space="preserve"> </w:t>
      </w:r>
      <w:r>
        <w:rPr>
          <w:i/>
        </w:rPr>
        <w:t xml:space="preserve">Results of wet-season samples collected across LWSA subbasin sites from Oct 2018 to Feb 2020</w:t>
      </w:r>
    </w:p>
    <w:tbl>
      <w:tblPr>
        <w:tblStyle w:val="Table"/>
        <w:tblW w:type="pct" w:w="0.0"/>
        <w:tblLook w:firstRow="1"/>
        <w:tblCaption w:val="Table 16: Results of wet-season samples collected across LWSA subbasin sites from Oct 2018 to Feb 2020"/>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mean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RSD (±%)</w:t>
            </w:r>
          </w:p>
        </w:tc>
        <w:tc>
          <w:tcPr>
            <w:tcBorders>
              <w:bottom w:val="single"/>
            </w:tcBorders>
            <w:vAlign w:val="bottom"/>
          </w:tcPr>
          <w:p>
            <w:pPr>
              <w:pStyle w:val="Compact"/>
              <w:jc w:val="right"/>
            </w:pPr>
            <w:r>
              <w:t xml:space="preserve">min DOC</w:t>
            </w:r>
          </w:p>
        </w:tc>
        <w:tc>
          <w:tcPr>
            <w:tcBorders>
              <w:bottom w:val="single"/>
            </w:tcBorders>
            <w:vAlign w:val="bottom"/>
          </w:tcPr>
          <w:p>
            <w:pPr>
              <w:pStyle w:val="Compact"/>
              <w:jc w:val="right"/>
            </w:pPr>
            <w:r>
              <w:t xml:space="preserve">max DOC</w:t>
            </w:r>
          </w:p>
        </w:tc>
      </w:tr>
      <w:tr>
        <w:tc>
          <w:p>
            <w:pPr>
              <w:pStyle w:val="Compact"/>
              <w:jc w:val="left"/>
            </w:pPr>
            <w:r>
              <w:t xml:space="preserve">Weeks</w:t>
            </w:r>
          </w:p>
        </w:tc>
        <w:tc>
          <w:p>
            <w:pPr>
              <w:pStyle w:val="Compact"/>
              <w:jc w:val="left"/>
            </w:pPr>
            <w:r>
              <w:t xml:space="preserve">Grab</w:t>
            </w:r>
          </w:p>
        </w:tc>
        <w:tc>
          <w:p>
            <w:pPr>
              <w:pStyle w:val="Compact"/>
              <w:jc w:val="right"/>
            </w:pPr>
            <w:r>
              <w:t xml:space="preserve">9.1</w:t>
            </w:r>
          </w:p>
        </w:tc>
        <w:tc>
          <w:p>
            <w:pPr>
              <w:pStyle w:val="Compact"/>
              <w:jc w:val="right"/>
            </w:pPr>
            <w:r>
              <w:t xml:space="preserve">3.2</w:t>
            </w:r>
          </w:p>
        </w:tc>
        <w:tc>
          <w:p>
            <w:pPr>
              <w:pStyle w:val="Compact"/>
              <w:jc w:val="right"/>
            </w:pPr>
            <w:r>
              <w:t xml:space="preserve">35</w:t>
            </w:r>
          </w:p>
        </w:tc>
        <w:tc>
          <w:p>
            <w:pPr>
              <w:pStyle w:val="Compact"/>
              <w:jc w:val="right"/>
            </w:pPr>
            <w:r>
              <w:t xml:space="preserve">6.38</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10.1</w:t>
            </w:r>
          </w:p>
        </w:tc>
        <w:tc>
          <w:p>
            <w:pPr>
              <w:pStyle w:val="Compact"/>
              <w:jc w:val="right"/>
            </w:pPr>
            <w:r>
              <w:t xml:space="preserve">4.0</w:t>
            </w:r>
          </w:p>
        </w:tc>
        <w:tc>
          <w:p>
            <w:pPr>
              <w:pStyle w:val="Compact"/>
              <w:jc w:val="right"/>
            </w:pPr>
            <w:r>
              <w:t xml:space="preserve">40</w:t>
            </w:r>
          </w:p>
        </w:tc>
        <w:tc>
          <w:p>
            <w:pPr>
              <w:pStyle w:val="Compact"/>
              <w:jc w:val="right"/>
            </w:pPr>
            <w:r>
              <w:t xml:space="preserve">3.78</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3.6</w:t>
            </w:r>
          </w:p>
        </w:tc>
        <w:tc>
          <w:p>
            <w:pPr>
              <w:pStyle w:val="Compact"/>
              <w:jc w:val="right"/>
            </w:pPr>
            <w:r>
              <w:t xml:space="preserve">1.9</w:t>
            </w:r>
          </w:p>
        </w:tc>
        <w:tc>
          <w:p>
            <w:pPr>
              <w:pStyle w:val="Compact"/>
              <w:jc w:val="right"/>
            </w:pPr>
            <w:r>
              <w:t xml:space="preserve">54</w:t>
            </w:r>
          </w:p>
        </w:tc>
        <w:tc>
          <w:p>
            <w:pPr>
              <w:pStyle w:val="Compact"/>
              <w:jc w:val="right"/>
            </w:pPr>
            <w:r>
              <w:t xml:space="preserve">1.84</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5.3</w:t>
            </w:r>
          </w:p>
        </w:tc>
        <w:tc>
          <w:p>
            <w:pPr>
              <w:pStyle w:val="Compact"/>
              <w:jc w:val="right"/>
            </w:pPr>
            <w:r>
              <w:t xml:space="preserve">1.8</w:t>
            </w:r>
          </w:p>
        </w:tc>
        <w:tc>
          <w:p>
            <w:pPr>
              <w:pStyle w:val="Compact"/>
              <w:jc w:val="right"/>
            </w:pPr>
            <w:r>
              <w:t xml:space="preserve">33</w:t>
            </w:r>
          </w:p>
        </w:tc>
        <w:tc>
          <w:p>
            <w:pPr>
              <w:pStyle w:val="Compact"/>
              <w:jc w:val="right"/>
            </w:pPr>
            <w:r>
              <w:t xml:space="preserve">1.94</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7.1</w:t>
            </w:r>
          </w:p>
        </w:tc>
        <w:tc>
          <w:p>
            <w:pPr>
              <w:pStyle w:val="Compact"/>
              <w:jc w:val="right"/>
            </w:pPr>
            <w:r>
              <w:t xml:space="preserve">1.9</w:t>
            </w:r>
          </w:p>
        </w:tc>
        <w:tc>
          <w:p>
            <w:pPr>
              <w:pStyle w:val="Compact"/>
              <w:jc w:val="right"/>
            </w:pPr>
            <w:r>
              <w:t xml:space="preserve">27</w:t>
            </w:r>
          </w:p>
        </w:tc>
        <w:tc>
          <w:p>
            <w:pPr>
              <w:pStyle w:val="Compact"/>
              <w:jc w:val="right"/>
            </w:pPr>
            <w:r>
              <w:t xml:space="preserve">4.87</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7.3</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4.1</w:t>
            </w:r>
          </w:p>
        </w:tc>
        <w:tc>
          <w:p>
            <w:pPr>
              <w:pStyle w:val="Compact"/>
              <w:jc w:val="right"/>
            </w:pPr>
            <w:r>
              <w:t xml:space="preserve">1.3</w:t>
            </w:r>
          </w:p>
        </w:tc>
        <w:tc>
          <w:p>
            <w:pPr>
              <w:pStyle w:val="Compact"/>
              <w:jc w:val="right"/>
            </w:pPr>
            <w:r>
              <w:t xml:space="preserve">31</w:t>
            </w:r>
          </w:p>
        </w:tc>
        <w:tc>
          <w:p>
            <w:pPr>
              <w:pStyle w:val="Compact"/>
              <w:jc w:val="right"/>
            </w:pPr>
            <w:r>
              <w:t xml:space="preserve">2.58</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5.2</w:t>
            </w:r>
          </w:p>
        </w:tc>
        <w:tc>
          <w:p>
            <w:pPr>
              <w:pStyle w:val="Compact"/>
              <w:jc w:val="right"/>
            </w:pPr>
            <w:r>
              <w:t xml:space="preserve">1.5</w:t>
            </w:r>
          </w:p>
        </w:tc>
        <w:tc>
          <w:p>
            <w:pPr>
              <w:pStyle w:val="Compact"/>
              <w:jc w:val="right"/>
            </w:pPr>
            <w:r>
              <w:t xml:space="preserve">28</w:t>
            </w:r>
          </w:p>
        </w:tc>
        <w:tc>
          <w:p>
            <w:pPr>
              <w:pStyle w:val="Compact"/>
              <w:jc w:val="right"/>
            </w:pPr>
            <w:r>
              <w:t xml:space="preserve">3.00</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4.1</w:t>
            </w:r>
          </w:p>
        </w:tc>
        <w:tc>
          <w:p>
            <w:pPr>
              <w:pStyle w:val="Compact"/>
              <w:jc w:val="right"/>
            </w:pPr>
            <w:r>
              <w:t xml:space="preserve">1.8</w:t>
            </w:r>
          </w:p>
        </w:tc>
        <w:tc>
          <w:p>
            <w:pPr>
              <w:pStyle w:val="Compact"/>
              <w:jc w:val="right"/>
            </w:pPr>
            <w:r>
              <w:t xml:space="preserve">44</w:t>
            </w:r>
          </w:p>
        </w:tc>
        <w:tc>
          <w:p>
            <w:pPr>
              <w:pStyle w:val="Compact"/>
              <w:jc w:val="right"/>
            </w:pPr>
            <w:r>
              <w:t xml:space="preserve">2.33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6.3</w:t>
            </w:r>
          </w:p>
        </w:tc>
        <w:tc>
          <w:p>
            <w:pPr>
              <w:pStyle w:val="Compact"/>
              <w:jc w:val="right"/>
            </w:pPr>
            <w:r>
              <w:t xml:space="preserve">2.2</w:t>
            </w:r>
          </w:p>
        </w:tc>
        <w:tc>
          <w:p>
            <w:pPr>
              <w:pStyle w:val="Compact"/>
              <w:jc w:val="right"/>
            </w:pPr>
            <w:r>
              <w:t xml:space="preserve">36</w:t>
            </w:r>
          </w:p>
        </w:tc>
        <w:tc>
          <w:p>
            <w:pPr>
              <w:pStyle w:val="Compact"/>
              <w:jc w:val="right"/>
            </w:pPr>
            <w:r>
              <w:t xml:space="preserve">2.66</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4.3</w:t>
            </w:r>
          </w:p>
        </w:tc>
        <w:tc>
          <w:p>
            <w:pPr>
              <w:pStyle w:val="Compact"/>
              <w:jc w:val="right"/>
            </w:pPr>
            <w:r>
              <w:t xml:space="preserve">1.5</w:t>
            </w:r>
          </w:p>
        </w:tc>
        <w:tc>
          <w:p>
            <w:pPr>
              <w:pStyle w:val="Compact"/>
              <w:jc w:val="right"/>
            </w:pPr>
            <w:r>
              <w:t xml:space="preserve">34</w:t>
            </w:r>
          </w:p>
        </w:tc>
        <w:tc>
          <w:p>
            <w:pPr>
              <w:pStyle w:val="Compact"/>
              <w:jc w:val="right"/>
            </w:pPr>
            <w:r>
              <w:t xml:space="preserve">2.19</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5.4</w:t>
            </w:r>
          </w:p>
        </w:tc>
        <w:tc>
          <w:p>
            <w:pPr>
              <w:pStyle w:val="Compact"/>
              <w:jc w:val="right"/>
            </w:pPr>
            <w:r>
              <w:t xml:space="preserve">1.6</w:t>
            </w:r>
          </w:p>
        </w:tc>
        <w:tc>
          <w:p>
            <w:pPr>
              <w:pStyle w:val="Compact"/>
              <w:jc w:val="right"/>
            </w:pPr>
            <w:r>
              <w:t xml:space="preserve">29</w:t>
            </w:r>
          </w:p>
        </w:tc>
        <w:tc>
          <w:p>
            <w:pPr>
              <w:pStyle w:val="Compact"/>
              <w:jc w:val="right"/>
            </w:pPr>
            <w:r>
              <w:t xml:space="preserve">2.69</w:t>
            </w:r>
          </w:p>
        </w:tc>
        <w:tc>
          <w:p>
            <w:pPr>
              <w:pStyle w:val="Compact"/>
              <w:jc w:val="right"/>
            </w:pPr>
            <w:r>
              <w:t xml:space="preserve">9.02</w:t>
            </w:r>
          </w:p>
        </w:tc>
      </w:tr>
    </w:tbl>
    <w:p>
      <w:pPr>
        <w:pStyle w:val="BodyText"/>
      </w:pPr>
      <w:r>
        <w:t xml:space="preserve"> </w:t>
      </w:r>
    </w:p>
    <w:p>
      <w:pPr>
        <w:pStyle w:val="Heading3"/>
      </w:pPr>
      <w:bookmarkStart w:id="87" w:name="X01c97e7c0051c30bc01f4516b13f2118c3f5dec"/>
      <w:r>
        <w:t xml:space="preserve">Rising limb – hydrologic versus supply controls on export</w:t>
      </w:r>
      <w:bookmarkEnd w:id="87"/>
    </w:p>
    <w:p>
      <w:pPr>
        <w:pStyle w:val="FirstParagraph"/>
      </w:pPr>
      <w:r>
        <w:t xml:space="preserve">Figure</w:t>
      </w:r>
      <w:r>
        <w:t xml:space="preserve"> </w:t>
      </w:r>
      <w:r>
        <w:t xml:space="preserve">23</w:t>
      </w:r>
      <w:r>
        <w:t xml:space="preserve"> </w:t>
      </w:r>
      <w:r>
        <w:t xml:space="preserve">shows rising limb sample DOC concentrations across rain events at the LWSA sub-basins. While there was a typically some increase in DOC with increasing river stage, seasonality appeared to have a greater influence on DOC concentrations than river rise (highest DOC early in the wet season).</w:t>
      </w:r>
    </w:p>
    <w:p>
      <w:pPr>
        <w:pStyle w:val="CaptionedFigure"/>
      </w:pPr>
      <w:r>
        <w:drawing>
          <wp:inline>
            <wp:extent cx="5504749" cy="7339665"/>
            <wp:effectExtent b="0" l="0" r="0" t="0"/>
            <wp:docPr descr="Figure 23:  DOC concentration trends in rising limb samples categorized by rain events" title="" id="1" name="Picture"/>
            <a:graphic>
              <a:graphicData uri="http://schemas.openxmlformats.org/drawingml/2006/picture">
                <pic:pic>
                  <pic:nvPicPr>
                    <pic:cNvPr descr="R-outputs_UBC-forWater-MSc_HMc/figures/DOC_rack-trends.png" id="0" name="Picture"/>
                    <pic:cNvPicPr>
                      <a:picLocks noChangeArrowheads="1" noChangeAspect="1"/>
                    </pic:cNvPicPr>
                  </pic:nvPicPr>
                  <pic:blipFill>
                    <a:blip r:embed="rId8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rPr>
          <w:i/>
        </w:rPr>
        <w:t xml:space="preserve">DOC concentration trends in rising limb samples categorized by rain events</w:t>
      </w:r>
    </w:p>
    <w:p>
      <w:pPr>
        <w:pStyle w:val="BodyText"/>
      </w:pPr>
      <w:r>
        <w:t xml:space="preserve"> </w:t>
      </w:r>
    </w:p>
    <w:p>
      <w:pPr>
        <w:pStyle w:val="Heading3"/>
      </w:pPr>
      <w:bookmarkStart w:id="89" w:name="synoptic-sampling-1"/>
      <w:r>
        <w:t xml:space="preserve">Synoptic Sampling</w:t>
      </w:r>
      <w:bookmarkEnd w:id="89"/>
    </w:p>
    <w:p>
      <w:pPr>
        <w:pStyle w:val="FirstParagraph"/>
      </w:pPr>
      <w:r>
        <w:t xml:space="preserve">Over the sixteen month study period, 227 samples were collected at thirteen river sites across the Leech and Sooke water supply areas. Figure</w:t>
      </w:r>
      <w:r>
        <w:t xml:space="preserve"> </w:t>
      </w:r>
      <w:r>
        <w:t xml:space="preserve">24</w:t>
      </w:r>
      <w:r>
        <w:t xml:space="preserve"> </w:t>
      </w:r>
      <w:r>
        <w:t xml:space="preserve">shows DOC concentrations across each synoptically samples site, and Table</w:t>
      </w:r>
      <w:r>
        <w:t xml:space="preserve"> </w:t>
      </w:r>
      <w:r>
        <w:t xml:space="preserve">??</w:t>
      </w:r>
      <w:r>
        <w:t xml:space="preserve"> </w:t>
      </w:r>
      <w:r>
        <w:t xml:space="preserve">summarized the range of DOC concentrations.</w:t>
      </w:r>
    </w:p>
    <w:p>
      <w:pPr>
        <w:pStyle w:val="BodyText"/>
      </w:pPr>
      <w:r>
        <w:t xml:space="preserve"> </w:t>
      </w:r>
    </w:p>
    <w:p>
      <w:pPr>
        <w:pStyle w:val="CaptionedFigure"/>
      </w:pPr>
      <w:r>
        <w:drawing>
          <wp:inline>
            <wp:extent cx="5943600" cy="3668888"/>
            <wp:effectExtent b="0" l="0" r="0" t="0"/>
            <wp:docPr descr="Figure 24:  Synoptic sampling results of dissolved organic carbon concentrations from 13 sites over 16 months (227 grab samples)." title="" id="1" name="Picture"/>
            <a:graphic>
              <a:graphicData uri="http://schemas.openxmlformats.org/drawingml/2006/picture">
                <pic:pic>
                  <pic:nvPicPr>
                    <pic:cNvPr descr="R-outputs_UBC-forWater-MSc_HMc/figures/DOC_syn_13sites_boxplots.png" id="0" name="Picture"/>
                    <pic:cNvPicPr>
                      <a:picLocks noChangeArrowheads="1" noChangeAspect="1"/>
                    </pic:cNvPicPr>
                  </pic:nvPicPr>
                  <pic:blipFill>
                    <a:blip r:embed="rId9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rPr>
          <w:i/>
        </w:rPr>
        <w:t xml:space="preserve">Synoptic sampling results of dissolved organic carbon concentrations from 13 sites over 16 months (227 grab samples).</w:t>
      </w:r>
    </w:p>
    <w:p>
      <w:pPr>
        <w:pStyle w:val="BodyText"/>
      </w:pPr>
      <w:r>
        <w:t xml:space="preserve"> </w:t>
      </w:r>
    </w:p>
    <w:p>
      <w:pPr>
        <w:pStyle w:val="SourceCode"/>
      </w:pPr>
      <w:r>
        <w:rPr>
          <w:rStyle w:val="VerbatimChar"/>
        </w:rPr>
        <w:t xml:space="preserve">#{r synopticDOCdata}</w:t>
      </w:r>
      <w:r>
        <w:br/>
      </w:r>
      <w:r>
        <w:rPr>
          <w:rStyle w:val="VerbatimChar"/>
        </w:rPr>
        <w:t xml:space="preserve">read_csv("R-outputs_UBC-forWater-MSc_HMc/tables/DOC-Synoptic_grab-summary.csv", col_names = TRUE) %&gt;% </w:t>
      </w:r>
      <w:r>
        <w:br/>
      </w:r>
      <w:r>
        <w:rPr>
          <w:rStyle w:val="VerbatimChar"/>
        </w:rPr>
        <w:t xml:space="preserve">  knitr::kable(digits = c(1, 0, 1, 1, 2, 2, 2), </w:t>
      </w:r>
      <w:r>
        <w:br/>
      </w:r>
      <w:r>
        <w:rPr>
          <w:rStyle w:val="VerbatimChar"/>
        </w:rPr>
        <w:t xml:space="preserve">               caption = "*Summary of dissolved organic carbon across thirteen synoptically sampled river sites*")</w:t>
      </w:r>
    </w:p>
    <w:p>
      <w:pPr>
        <w:pStyle w:val="FirstParagraph"/>
      </w:pPr>
      <w:r>
        <w:t xml:space="preserve"> </w:t>
      </w:r>
    </w:p>
    <w:p>
      <w:pPr>
        <w:pStyle w:val="BodyText"/>
      </w:pPr>
      <w:r>
        <w:t xml:space="preserve">Figure (</w:t>
      </w:r>
      <w:r>
        <w:t xml:space="preserve">25</w:t>
      </w:r>
      <w:r>
        <w:t xml:space="preserve">) shows the density distribution of DOC concentrations at each of the synoptically sampled sites. DOC concentrations were typically higher in headwater streams, particularly those associated with wetlands.</w:t>
      </w:r>
    </w:p>
    <w:p>
      <w:pPr>
        <w:pStyle w:val="BodyText"/>
      </w:pPr>
      <w:r>
        <w:t xml:space="preserve"> </w:t>
      </w:r>
    </w:p>
    <w:p>
      <w:pPr>
        <w:pStyle w:val="CaptionedFigure"/>
      </w:pPr>
      <w:r>
        <w:drawing>
          <wp:inline>
            <wp:extent cx="5943600" cy="3668888"/>
            <wp:effectExtent b="0" l="0" r="0" t="0"/>
            <wp:docPr descr="Figure 25:  Density distribution of dissolved organic carbon concentrations resulting from synoptic sampling at 13 sites over 16 months (227 grab samples)." title="" id="1" name="Picture"/>
            <a:graphic>
              <a:graphicData uri="http://schemas.openxmlformats.org/drawingml/2006/picture">
                <pic:pic>
                  <pic:nvPicPr>
                    <pic:cNvPr descr="R-outputs_UBC-forWater-MSc_HMc/figures/DOC_syn_13sites_ridgeplots.png" id="0" name="Picture"/>
                    <pic:cNvPicPr>
                      <a:picLocks noChangeArrowheads="1" noChangeAspect="1"/>
                    </pic:cNvPicPr>
                  </pic:nvPicPr>
                  <pic:blipFill>
                    <a:blip r:embed="rId91"/>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rPr>
          <w:i/>
        </w:rPr>
        <w:t xml:space="preserve">Density distribution of dissolved organic carbon concentrations resulting from synoptic sampling at 13 sites over 16 months (227 grab samples).</w:t>
      </w:r>
    </w:p>
    <w:p>
      <w:pPr>
        <w:pStyle w:val="BodyText"/>
      </w:pPr>
      <w:r>
        <w:t xml:space="preserve"> </w:t>
      </w:r>
    </w:p>
    <w:p>
      <w:pPr>
        <w:pStyle w:val="Heading4"/>
      </w:pPr>
      <w:bookmarkStart w:id="92" w:name="X8a0529aaecb3335c81e1d77aadea32ee416aa9e"/>
      <w:r>
        <w:t xml:space="preserve">Seasonal patterns: UV-absorption as indicator of molecular character</w:t>
      </w:r>
      <w:bookmarkEnd w:id="92"/>
    </w:p>
    <w:p>
      <w:pPr>
        <w:pStyle w:val="FirstParagraph"/>
      </w:pPr>
      <w:r>
        <w:t xml:space="preserve">With samples collected over sixteen months, a seasonal assessment of source water character was possible. NOM molecules with greater aromaticity will absorb more UV energy at wavelength 254-nm than non-aromatic molecules; therefore, spectroscopic methods of estimating DOM are proxy measures of sample aromaticity (e.g., humic substances). Figure</w:t>
      </w:r>
      <w:r>
        <w:t xml:space="preserve"> </w:t>
      </w:r>
      <w:r>
        <w:t xml:space="preserve">26</w:t>
      </w:r>
      <w:r>
        <w:t xml:space="preserve"> </w:t>
      </w:r>
      <w:r>
        <w:t xml:space="preserve">shows DOC concentrations plotted against DOC estimates based on UV-Vis absorbance. The seasonal separation of wet an dry season samples suggests that river water during the wet-season (fall and winter) has more aromatic character than during the dry-season (summer).</w:t>
      </w:r>
    </w:p>
    <w:p>
      <w:pPr>
        <w:pStyle w:val="BodyText"/>
      </w:pPr>
      <w:r>
        <w:rPr>
          <w:i/>
          <w:b/>
        </w:rPr>
        <w:t xml:space="preserve">Quality control note</w:t>
      </w:r>
    </w:p>
    <w:p>
      <w:pPr>
        <w:pStyle w:val="BodyText"/>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may bias absorbance values due to non-DOC light absorption or scattering. Therefore, spectral indices were not calculated for several unfiltered water samples that had detectable turbidity (greater than 0.000 FTU); this reduced the spectral dataset by 9.5%. ****** DOUBLE CHECK THAT NUMBER (FROM METHODS)</w:t>
      </w:r>
    </w:p>
    <w:p>
      <w:pPr>
        <w:pStyle w:val="BodyText"/>
      </w:pPr>
      <w:r>
        <w:t xml:space="preserve"> </w:t>
      </w:r>
    </w:p>
    <w:p>
      <w:pPr>
        <w:pStyle w:val="CaptionedFigure"/>
      </w:pPr>
      <w:r>
        <w:drawing>
          <wp:inline>
            <wp:extent cx="5943600" cy="5943600"/>
            <wp:effectExtent b="0" l="0" r="0" t="0"/>
            <wp:docPr descr="Figure 26:  Dissolved organic carbon measured directly (as NPOC) plotted against concentrations estimated via UV-Vis spectroscopy, with a dashed lined indicating best fit (1:1). The 282 samples are grouped by season (n{wet} = 237, n{first-flush} = 18, n{dry} = 27)." title="" id="1" name="Picture"/>
            <a:graphic>
              <a:graphicData uri="http://schemas.openxmlformats.org/drawingml/2006/picture">
                <pic:pic>
                  <pic:nvPicPr>
                    <pic:cNvPr descr="R-outputs_UBC-forWater-MSc_HMc/figures/DOC_seasonal_surrogate-NPOC.png" id="0" name="Picture"/>
                    <pic:cNvPicPr>
                      <a:picLocks noChangeArrowheads="1" noChangeAspect="1"/>
                    </pic:cNvPicPr>
                  </pic:nvPicPr>
                  <pic:blipFill>
                    <a:blip r:embed="rId9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rPr>
          <w:i/>
        </w:rPr>
        <w:t xml:space="preserve">Dissolved organic carbon measured directly (as NPOC) plotted against concentrations estimated via UV-Vis spectroscopy, with a dashed lined indicating best fit (1:1). The 282 samples are grouped by season (n{wet} = 237, n{first-flush} = 18, n{dry} = 27).</w:t>
      </w:r>
    </w:p>
    <w:p>
      <w:pPr>
        <w:pStyle w:val="BodyText"/>
      </w:pPr>
      <w:r>
        <w:t xml:space="preserve"> </w:t>
      </w:r>
    </w:p>
    <w:p>
      <w:pPr>
        <w:pStyle w:val="BodyText"/>
      </w:pPr>
      <w:r>
        <w:t xml:space="preserve">Figure</w:t>
      </w:r>
      <w:r>
        <w:t xml:space="preserve"> </w:t>
      </w:r>
      <w:r>
        <w:t xml:space="preserve">26</w:t>
      </w:r>
      <w:r>
        <w:t xml:space="preserve"> </w:t>
      </w:r>
      <w:r>
        <w:t xml:space="preserve">showed that characteristics of wet-season samples caused positive bias in absorbance-based DOC estimates, while dry-season samples showed negative bias in DOC estimated by UV-Vis absorption.</w:t>
      </w:r>
    </w:p>
    <w:p>
      <w:pPr>
        <w:pStyle w:val="BodyText"/>
      </w:pPr>
      <w:r>
        <w:t xml:space="preserve"> </w:t>
      </w:r>
    </w:p>
    <w:p>
      <w:pPr>
        <w:pStyle w:val="BodyText"/>
      </w:pPr>
      <w:r>
        <w:t xml:space="preserve">While an aromatic NOM sample will have stronger absorbance at 254-nm relative to a non-aromatic sample, the concentration of NOM also effects the intensity of absorbance (based on the Beer-Lambert law). Because UV-Vis absorbance is proportional to both the aromaticity and the concentration of NOM in a sample, SUVA</w:t>
      </w:r>
      <w:r>
        <w:rPr>
          <w:vertAlign w:val="subscript"/>
        </w:rPr>
        <w:t xml:space="preserve">254</w:t>
      </w:r>
      <w:r>
        <w:t xml:space="preserve"> </w:t>
      </w:r>
      <w:r>
        <w:t xml:space="preserve">is a widely adopted indicator of a sample’s aromaticity. Specific UV absorbance at 254-nm (SUVA</w:t>
      </w:r>
      <w:r>
        <w:rPr>
          <w:vertAlign w:val="subscript"/>
        </w:rPr>
        <w:t xml:space="preserve">254</w:t>
      </w:r>
      <w:r>
        <w:t xml:space="preserve">) is calculated by dividing a sample’s absorbance at 254-nm by its DOC concentration; a greater SUVA</w:t>
      </w:r>
      <w:r>
        <w:rPr>
          <w:vertAlign w:val="subscript"/>
        </w:rPr>
        <w:t xml:space="preserve">254</w:t>
      </w:r>
      <w:r>
        <w:t xml:space="preserve"> </w:t>
      </w:r>
      <w:r>
        <w:t xml:space="preserve">value indicates a sample with more aromatic character than a sample with low SUVA</w:t>
      </w:r>
      <w:r>
        <w:rPr>
          <w:vertAlign w:val="subscript"/>
        </w:rPr>
        <w:t xml:space="preserve">254</w:t>
      </w:r>
      <w:r>
        <w:t xml:space="preserve">. Figure</w:t>
      </w:r>
      <w:r>
        <w:t xml:space="preserve"> </w:t>
      </w:r>
      <w:r>
        <w:t xml:space="preserve">27</w:t>
      </w:r>
      <w:r>
        <w:t xml:space="preserve"> </w:t>
      </w:r>
      <w:r>
        <w:t xml:space="preserve">shows seasonally grouped samples’ DOC plotted against SUVA</w:t>
      </w:r>
      <w:r>
        <w:rPr>
          <w:vertAlign w:val="subscript"/>
        </w:rPr>
        <w:t xml:space="preserve">254</w:t>
      </w:r>
      <w:r>
        <w:t xml:space="preserve">, which indicates a greater aromatic character of river water during the wet season compared to dry season.</w:t>
      </w:r>
    </w:p>
    <w:p>
      <w:pPr>
        <w:pStyle w:val="BodyText"/>
      </w:pPr>
      <w:r>
        <w:t xml:space="preserve"> </w:t>
      </w:r>
    </w:p>
    <w:p>
      <w:pPr>
        <w:pStyle w:val="CaptionedFigure"/>
      </w:pPr>
      <w:r>
        <w:drawing>
          <wp:inline>
            <wp:extent cx="5943600" cy="3668888"/>
            <wp:effectExtent b="0" l="0" r="0" t="0"/>
            <wp:docPr descr="Figure 27:  Dissolved organic carbon plotted against specific UV absorbance at 254 nm (SUVA{254}) with samples (n = 282) grouped by season (n{wet} = 237, n{first-flush} = 18, n{dry} = 27) showing greater aromaticity (more humic-like organic matter) in wet season samples." title="" id="1" name="Picture"/>
            <a:graphic>
              <a:graphicData uri="http://schemas.openxmlformats.org/drawingml/2006/picture">
                <pic:pic>
                  <pic:nvPicPr>
                    <pic:cNvPr descr="R-outputs_UBC-forWater-MSc_HMc/figures/DOC_seasonal_SUVA-NPOC.png" id="0" name="Picture"/>
                    <pic:cNvPicPr>
                      <a:picLocks noChangeArrowheads="1" noChangeAspect="1"/>
                    </pic:cNvPicPr>
                  </pic:nvPicPr>
                  <pic:blipFill>
                    <a:blip r:embed="rId94"/>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rPr>
          <w:i/>
        </w:rPr>
        <w:t xml:space="preserve">Dissolved organic carbon plotted against specific UV absorbance at 254 nm (SUVA{254}) with samples (n = 282) grouped by season (n{wet} = 237, n{first-flush} = 18, n{dry} = 27) showing greater aromaticity (more humic-like organic matter) in wet season samples.</w:t>
      </w:r>
    </w:p>
    <w:p>
      <w:pPr>
        <w:pStyle w:val="BodyText"/>
      </w:pPr>
      <w:r>
        <w:t xml:space="preserve"> </w:t>
      </w:r>
    </w:p>
    <w:p>
      <w:pPr>
        <w:pStyle w:val="Heading2"/>
      </w:pPr>
      <w:bookmarkStart w:id="95" w:name="random-forests"/>
      <w:r>
        <w:t xml:space="preserve">Random Forests</w:t>
      </w:r>
      <w:bookmarkEnd w:id="95"/>
    </w:p>
    <w:p>
      <w:pPr>
        <w:pStyle w:val="Compact"/>
        <w:numPr>
          <w:numId w:val="1005"/>
          <w:ilvl w:val="0"/>
        </w:numPr>
      </w:pPr>
      <w:r>
        <w:t xml:space="preserve">in progress</w:t>
      </w:r>
    </w:p>
    <w:p>
      <w:pPr>
        <w:pStyle w:val="Heading1"/>
      </w:pPr>
      <w:bookmarkStart w:id="96" w:name="discussion"/>
      <w:r>
        <w:t xml:space="preserve">Discussion</w:t>
      </w:r>
      <w:bookmarkEnd w:id="96"/>
    </w:p>
    <w:p>
      <w:pPr>
        <w:pStyle w:val="FirstParagraph"/>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06"/>
          <w:ilvl w:val="0"/>
        </w:numPr>
      </w:pPr>
      <w:r>
        <w:t xml:space="preserve">Across the LWSA, was the variance in DOC greater within each site or among all sites?</w:t>
      </w:r>
    </w:p>
    <w:p>
      <w:pPr>
        <w:numPr>
          <w:numId w:val="1006"/>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97" w:name="conclusions"/>
      <w:r>
        <w:t xml:space="preserve">Conclusions</w:t>
      </w:r>
      <w:bookmarkEnd w:id="97"/>
    </w:p>
    <w:p>
      <w:pPr>
        <w:pStyle w:val="Heading1"/>
      </w:pPr>
      <w:bookmarkStart w:id="98" w:name="references"/>
      <w:r>
        <w:t xml:space="preserve">References</w:t>
      </w:r>
      <w:bookmarkEnd w:id="98"/>
    </w:p>
    <w:p>
      <w:pPr>
        <w:pStyle w:val="Heading7"/>
      </w:pPr>
      <w:bookmarkStart w:id="99" w:name="appendix"/>
      <w:r>
        <w:t xml:space="preserve">Appendix</w:t>
      </w:r>
      <w:bookmarkEnd w:id="99"/>
    </w:p>
    <w:p>
      <w:pPr>
        <w:pStyle w:val="Heading8"/>
      </w:pPr>
      <w:bookmarkStart w:id="100" w:name="the-forwater-network"/>
      <w:r>
        <w:t xml:space="preserve">The forWater Network</w:t>
      </w:r>
      <w:bookmarkEnd w:id="100"/>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Heading8"/>
      </w:pPr>
      <w:bookmarkStart w:id="101" w:name="X264f14d3eae9d18c35d78736d0a098750021930"/>
      <w:r>
        <w:t xml:space="preserve">Greater Victoria Regional Water Supply System</w:t>
      </w:r>
      <w:bookmarkEnd w:id="101"/>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Heading8"/>
      </w:pPr>
      <w:bookmarkStart w:id="102" w:name="leech-river-watershed-site-details"/>
      <w:r>
        <w:t xml:space="preserve">Leech River Watershed Site Details</w:t>
      </w:r>
      <w:bookmarkEnd w:id="102"/>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Heading9"/>
      </w:pPr>
      <w:bookmarkStart w:id="103" w:name="installation-monitoring-sites"/>
      <w:r>
        <w:t xml:space="preserve">Installation / monitoring sites</w:t>
      </w:r>
      <w:bookmarkEnd w:id="103"/>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rPr>
          <w:i/>
          <w:b/>
        </w:rPr>
        <w:t xml:space="preserve">Weeks Outlet</w:t>
      </w:r>
    </w:p>
    <w:p>
      <w:pPr>
        <w:pStyle w:val="BodyText"/>
      </w:pPr>
      <w:r>
        <w:t xml:space="preserve">The Weeks Outlet research site monitors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 Outlet</w:t>
      </w:r>
      <w:r>
        <w:t xml:space="preserve">”</w:t>
      </w:r>
      <w:r>
        <w:t xml:space="preserve">, which is a third order stream (Strahler) of the western headwaters of Leech River. The channel is fairly straight and bed material is primarily silt/clay. The water at this site was noteabley tannin-coloured. This research site was located about 0.4 km west (upstream) of the confluence with Chris Creek.</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w:t>
      </w:r>
    </w:p>
    <w:p>
      <w:pPr>
        <w:pStyle w:val="BodyText"/>
      </w:pPr>
      <w:r>
        <w:t xml:space="preserve"> </w:t>
      </w:r>
    </w:p>
    <w:p>
      <w:pPr>
        <w:pStyle w:val="BodyText"/>
      </w:pPr>
      <w:r>
        <w:rPr>
          <w:i/>
          <w:b/>
        </w:rPr>
        <w:t xml:space="preserve">Chris Creek</w:t>
      </w:r>
    </w:p>
    <w:p>
      <w:pPr>
        <w:pStyle w:val="BodyText"/>
      </w:pPr>
      <w:r>
        <w:t xml:space="preserve">Chris Creek is the western headwaters of Leech River. This research site is approximately 0.2 km east (upstream) of the confluence with the Weeks Outlet stream. The study site on Chris Creek monitors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w:t>
      </w:r>
    </w:p>
    <w:p>
      <w:pPr>
        <w:pStyle w:val="BodyText"/>
      </w:pPr>
      <w:r>
        <w:t xml:space="preserve"> </w:t>
      </w:r>
    </w:p>
    <w:p>
      <w:pPr>
        <w:pStyle w:val="BodyText"/>
      </w:pPr>
      <w:r>
        <w:rPr>
          <w:i/>
          <w:b/>
        </w:rPr>
        <w:t xml:space="preserve">Leech Head</w:t>
      </w:r>
    </w:p>
    <w:p>
      <w:pPr>
        <w:pStyle w:val="BodyText"/>
      </w:pPr>
      <w:r>
        <w:t xml:space="preserve">Research site 3 was approxiamtely 1.4 km downstream of the confluence of Weeks Outlet stream and Chris Creek. The</w:t>
      </w:r>
      <w:r>
        <w:t xml:space="preserve"> </w:t>
      </w:r>
      <w:r>
        <w:t xml:space="preserve">“</w:t>
      </w:r>
      <w:r>
        <w:t xml:space="preserve">Leech Head</w:t>
      </w:r>
      <w:r>
        <w:t xml:space="preserve">”</w:t>
      </w:r>
      <w:r>
        <w:t xml:space="preserve"> </w:t>
      </w:r>
      <w:r>
        <w:t xml:space="preserve">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w:t>
      </w:r>
    </w:p>
    <w:p>
      <w:pPr>
        <w:pStyle w:val="BodyText"/>
      </w:pPr>
      <w:r>
        <w:t xml:space="preserve"> </w:t>
      </w:r>
    </w:p>
    <w:p>
      <w:pPr>
        <w:pStyle w:val="BodyText"/>
      </w:pPr>
      <w:r>
        <w:rPr>
          <w:i/>
          <w:b/>
        </w:rPr>
        <w:t xml:space="preserve">Cragg Creek</w:t>
      </w:r>
    </w:p>
    <w:p>
      <w:pPr>
        <w:pStyle w:val="BodyText"/>
      </w:pPr>
      <w:r>
        <w:t xml:space="preserve">Cragg Creek is a mainstem river that originates in the northeast of the Leech River watershed. Cragg Creek is a 4th order stream and this research site location has a drainage area of approximately 37 km</w:t>
      </w:r>
      <w:r>
        <w:rPr>
          <w:vertAlign w:val="superscript"/>
        </w:rPr>
        <w:t xml:space="preserve">2</w:t>
      </w:r>
      <w:r>
        <w:t xml:space="preserve">,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p>
    <w:p>
      <w:pPr>
        <w:pStyle w:val="BodyText"/>
      </w:pPr>
      <w:r>
        <w:t xml:space="preserve"> </w:t>
      </w:r>
    </w:p>
    <w:p>
      <w:pPr>
        <w:pStyle w:val="BodyText"/>
      </w:pPr>
      <w:r>
        <w:rPr>
          <w:i/>
          <w:b/>
        </w:rPr>
        <w:t xml:space="preserve">West Leech</w:t>
      </w:r>
    </w:p>
    <w:p>
      <w:pPr>
        <w:pStyle w:val="BodyText"/>
      </w:pPr>
      <w:r>
        <w:t xml:space="preserve">Originating in the west of the Leech River watershed, West Leech River is a 4th order mainstem river. The West Leech research site monitors a drainage area of approximately 35 km</w:t>
      </w:r>
      <w:r>
        <w:rPr>
          <w:vertAlign w:val="superscript"/>
        </w:rPr>
        <w:t xml:space="preserve">2</w:t>
      </w:r>
      <w:r>
        <w:t xml:space="preserve"> </w:t>
      </w:r>
      <w:r>
        <w:t xml:space="preserve">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p>
    <w:p>
      <w:pPr>
        <w:pStyle w:val="BodyText"/>
      </w:pPr>
      <w:r>
        <w:t xml:space="preserve"> </w:t>
      </w:r>
    </w:p>
    <w:p>
      <w:pPr>
        <w:pStyle w:val="BodyText"/>
      </w:pPr>
      <w:r>
        <w:rPr>
          <w:i/>
          <w:b/>
        </w:rPr>
        <w:t xml:space="preserve">Leech Tunnel</w:t>
      </w:r>
    </w:p>
    <w:p>
      <w:pPr>
        <w:pStyle w:val="BodyText"/>
      </w:pPr>
      <w:r>
        <w:t xml:space="preserve">This research site is at the point of future diversion, the Leech Tunnel. The Leech River is 5th order, and this research site has a drainage area of approximately 99 km</w:t>
      </w:r>
      <w:r>
        <w:rPr>
          <w:vertAlign w:val="superscript"/>
        </w:rPr>
        <w:t xml:space="preserve">2</w:t>
      </w:r>
      <w:r>
        <w:t xml:space="preserve">. The stream bed here is dominated by Schist bedrock and boulders. The bedrock in the center of the channel is deeply incised, but overall the river is wider than is is deep. The Tunnel site is approximately 1km downstream of the West Leech confluence.</w:t>
      </w:r>
    </w:p>
    <w:p>
      <w:pPr>
        <w:pStyle w:val="Heading8"/>
      </w:pPr>
      <w:bookmarkStart w:id="104" w:name="extended-methods"/>
      <w:r>
        <w:t xml:space="preserve">Extended Methods</w:t>
      </w:r>
      <w:bookmarkEnd w:id="104"/>
    </w:p>
    <w:p>
      <w:pPr>
        <w:pStyle w:val="FirstParagraph"/>
      </w:pPr>
      <w:r>
        <w:t xml:space="preserve">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Siphon sampler background – separate from vertical rack? Mark’s suggestion</w:t>
      </w:r>
    </w:p>
    <w:p>
      <w:pPr>
        <w:pStyle w:val="BodyText"/>
      </w:pPr>
      <w:r>
        <w:rPr>
          <w:i/>
          <w:b/>
        </w:rPr>
        <w:t xml:space="preserve">Vertical racks</w:t>
      </w:r>
    </w:p>
    <w:p>
      <w:pPr>
        <w:pStyle w:val="BodyText"/>
      </w:pPr>
      <w:r>
        <w:rPr>
          <w:i/>
        </w:rPr>
        <w:t xml:space="preserve">Passive water sampling on the rising limb of hydrograph</w:t>
      </w:r>
    </w:p>
    <w:p>
      <w:pPr>
        <w:pStyle w:val="BodyText"/>
      </w:pPr>
      <w:r>
        <w:t xml:space="preserve">Each vertical rack included a central stilling well (1.5" PCV pipe (conduit) with 1/2" holes drilled along the length) that had a measuring tape affixed to the front. Inside the stilling well was an Odyssey Capacitance water level logger (odysseydatarecording.com). To either side of the central stilling well, slotted offset angle bars were fixed and siphon sampler bottles were attached to the slotted angle bars with hose clamps.</w:t>
      </w:r>
    </w:p>
    <w:p>
      <w:pPr>
        <w:pStyle w:val="BodyText"/>
      </w:pPr>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w:t>
      </w:r>
    </w:p>
    <w:p>
      <w:pPr>
        <w:pStyle w:val="BodyText"/>
      </w:pPr>
      <w: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pPr>
        <w:pStyle w:val="BodyText"/>
      </w:pPr>
      <w:r>
        <w:rPr>
          <w:i/>
        </w:rPr>
        <w:t xml:space="preserve">Benefits, challenges and assumptions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Heading8"/>
      </w:pPr>
      <w:bookmarkStart w:id="105" w:name="field-protocol"/>
      <w:r>
        <w:t xml:space="preserve">Field protocol</w:t>
      </w:r>
      <w:bookmarkEnd w:id="105"/>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8"/>
      </w:pPr>
      <w:bookmarkStart w:id="106" w:name="X4e3eb70344da6a931ae15671e47b67ae69cdd36"/>
      <w:r>
        <w:t xml:space="preserve">Prototype for falling limb passive sampling</w:t>
      </w:r>
      <w:bookmarkEnd w:id="106"/>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Heading8"/>
      </w:pPr>
      <w:bookmarkStart w:id="107" w:name="collaborative-sampling"/>
      <w:r>
        <w:t xml:space="preserve">Collaborative sampling</w:t>
      </w:r>
      <w:bookmarkEnd w:id="107"/>
    </w:p>
    <w:p>
      <w:pPr>
        <w:pStyle w:val="Heading9"/>
      </w:pPr>
      <w:bookmarkStart w:id="108" w:name="Xff9c1916dd8d278b07e9d95ebf125bc565f5754"/>
      <w:r>
        <w:t xml:space="preserve">forWater-coordinated treatability analyses sites</w:t>
      </w:r>
      <w:bookmarkEnd w:id="108"/>
    </w:p>
    <w:p>
      <w:pPr>
        <w:pStyle w:val="FirstParagraph"/>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Compact"/>
        <w:numPr>
          <w:numId w:val="1007"/>
          <w:ilvl w:val="0"/>
        </w:numPr>
      </w:pPr>
      <w:r>
        <w:t xml:space="preserve">Leech River at the future point of diversion (near Leech Tunnel inlet)</w:t>
      </w:r>
    </w:p>
    <w:p>
      <w:pPr>
        <w:pStyle w:val="Compact"/>
        <w:numPr>
          <w:numId w:val="1007"/>
          <w:ilvl w:val="0"/>
        </w:numPr>
      </w:pPr>
      <w:r>
        <w:t xml:space="preserve">Deception Reservoir, downstream from Deception Gulch (outlet of Leech Tunnel)</w:t>
      </w:r>
    </w:p>
    <w:p>
      <w:pPr>
        <w:pStyle w:val="Compact"/>
        <w:numPr>
          <w:numId w:val="1007"/>
          <w:ilvl w:val="0"/>
        </w:numPr>
      </w:pPr>
      <w:r>
        <w:t xml:space="preserve">Rithet Creek (main tributary to Sooke Reservoir)</w:t>
      </w:r>
    </w:p>
    <w:p>
      <w:pPr>
        <w:pStyle w:val="Compact"/>
        <w:numPr>
          <w:numId w:val="1007"/>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Heading9"/>
      </w:pPr>
      <w:bookmarkStart w:id="109" w:name="sampling-for-metals-on-behalf-of-the-crd"/>
      <w:r>
        <w:t xml:space="preserve">Sampling for Metals on behalf of the CRD</w:t>
      </w:r>
      <w:bookmarkEnd w:id="109"/>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p>
    <w:p>
      <w:pPr>
        <w:pStyle w:val="Heading8"/>
      </w:pPr>
      <w:bookmarkStart w:id="110" w:name="results-extended"/>
      <w:r>
        <w:t xml:space="preserve">Results extended</w:t>
      </w:r>
      <w:bookmarkEnd w:id="110"/>
    </w:p>
    <w:p>
      <w:pPr>
        <w:pStyle w:val="Heading9"/>
      </w:pPr>
      <w:bookmarkStart w:id="111" w:name="malahat-5-year-weather"/>
      <w:r>
        <w:t xml:space="preserve">Malahat 5 year weather</w:t>
      </w:r>
      <w:bookmarkEnd w:id="111"/>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28</w:t>
      </w:r>
      <w:r>
        <w:t xml:space="preserve"> </w:t>
      </w:r>
      <w:r>
        <w:t xml:space="preserve">shows Malahat weather data, which are summarized in Table</w:t>
      </w:r>
      <w:r>
        <w:t xml:space="preserve"> </w:t>
      </w:r>
      <w:r>
        <w:t xml:space="preserve">17</w:t>
      </w:r>
      <w:r>
        <w:t xml:space="preserve">.</w:t>
      </w:r>
    </w:p>
    <w:p>
      <w:pPr>
        <w:pStyle w:val="SourceCode"/>
      </w:pPr>
      <w:r>
        <w:rPr>
          <w:rStyle w:val="NormalTok"/>
        </w:rPr>
        <w:t xml:space="preserve">fig_cap =</w:t>
      </w:r>
      <w:r>
        <w:rPr>
          <w:rStyle w:val="StringTok"/>
        </w:rPr>
        <w:t xml:space="preserve"> "</w:t>
      </w:r>
      <w:r>
        <w:rPr>
          <w:rStyle w:val="CharTok"/>
        </w:rPr>
        <w:t xml:space="preserve">\\</w:t>
      </w:r>
      <w:r>
        <w:rPr>
          <w:rStyle w:val="StringTok"/>
        </w:rPr>
        <w:t xml:space="preserve">label{fig:WxMalahat} *Five year weather from nearby Malahat station (MoTI ID 62091).*"</w:t>
      </w:r>
      <w:r>
        <w:br/>
      </w:r>
      <w:r>
        <w:br/>
      </w: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"R-outputs_UBC-forWater-MSc_HMc/figures/Wx_Malahat.png"</w:t>
      </w:r>
      <w:r>
        <w:rPr>
          <w:rStyle w:val="NormalTok"/>
        </w:rPr>
        <w:t xml:space="preserve">)</w:t>
      </w:r>
    </w:p>
    <w:p>
      <w:pPr>
        <w:pStyle w:val="CaptionedFigure"/>
      </w:pPr>
      <w:r>
        <w:drawing>
          <wp:inline>
            <wp:extent cx="5943600" cy="3668888"/>
            <wp:effectExtent b="0" l="0" r="0" t="0"/>
            <wp:docPr descr="Figure 28: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1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rPr>
          <w:i/>
        </w:rPr>
        <w:t xml:space="preserve">Five year weather from nearby Malahat station (MoTI ID 62091).</w:t>
      </w:r>
    </w:p>
    <w:p>
      <w:pPr>
        <w:pStyle w:val="BodyText"/>
      </w:pPr>
      <w:r>
        <w:t xml:space="preserve"> </w:t>
      </w:r>
    </w:p>
    <w:p>
      <w:pPr>
        <w:pStyle w:val="SourceCode"/>
      </w:pPr>
      <w:r>
        <w:rPr>
          <w:rStyle w:val="KeywordTok"/>
        </w:rPr>
        <w:t xml:space="preserve">read_csv</w:t>
      </w:r>
      <w:r>
        <w:rPr>
          <w:rStyle w:val="NormalTok"/>
        </w:rPr>
        <w:t xml:space="preserve">(</w:t>
      </w:r>
      <w:r>
        <w:rPr>
          <w:rStyle w:val="StringTok"/>
        </w:rPr>
        <w:t xml:space="preserve">"R-outputs_UBC-forWater-MSc_HMc/tables/Wx_malahat-summary.csv"</w:t>
      </w:r>
      <w:r>
        <w:rPr>
          <w:rStyle w:val="NormalTok"/>
        </w:rPr>
        <w:t xml:space="preserve">, </w:t>
      </w:r>
      <w:r>
        <w:rPr>
          <w:rStyle w:val="DataTypeTok"/>
        </w:rPr>
        <w:t xml:space="preserve">col_names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digits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ataTypeTok"/>
        </w:rPr>
        <w:t xml:space="preserve">caption =</w:t>
      </w:r>
      <w:r>
        <w:rPr>
          <w:rStyle w:val="NormalTok"/>
        </w:rPr>
        <w:t xml:space="preserve"> </w:t>
      </w:r>
      <w:r>
        <w:rPr>
          <w:rStyle w:val="StringTok"/>
        </w:rPr>
        <w:t xml:space="preserve">"*Annual weather data from Malahat station (MoTI ID 62091)*"</w:t>
      </w:r>
      <w:r>
        <w:rPr>
          <w:rStyle w:val="NormalTok"/>
        </w:rPr>
        <w:t xml:space="preserve">)</w:t>
      </w:r>
    </w:p>
    <w:p>
      <w:pPr>
        <w:pStyle w:val="TableCaption"/>
      </w:pPr>
      <w:r>
        <w:t xml:space="preserve">Table 17:</w:t>
      </w:r>
      <w:r>
        <w:t xml:space="preserve"> </w:t>
      </w:r>
      <w:r>
        <w:rPr>
          <w:i/>
        </w:rPr>
        <w:t xml:space="preserve">Annual weather data from Malahat station (MoTI ID 62091)</w:t>
      </w:r>
    </w:p>
    <w:tbl>
      <w:tblPr>
        <w:tblStyle w:val="Table"/>
        <w:tblW w:type="pct" w:w="0.0"/>
        <w:tblLook w:firstRow="1"/>
        <w:tblCaption w:val="Table 17: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29</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SourceCode"/>
      </w:pPr>
      <w:r>
        <w:rPr>
          <w:rStyle w:val="NormalTok"/>
        </w:rPr>
        <w:t xml:space="preserve">fig_cap =</w:t>
      </w:r>
      <w:r>
        <w:rPr>
          <w:rStyle w:val="StringTok"/>
        </w:rPr>
        <w:t xml:space="preserve"> "</w:t>
      </w:r>
      <w:r>
        <w:rPr>
          <w:rStyle w:val="CharTok"/>
        </w:rPr>
        <w:t xml:space="preserve">\\</w:t>
      </w:r>
      <w:r>
        <w:rPr>
          <w:rStyle w:val="StringTok"/>
        </w:rPr>
        <w:t xml:space="preserve">label{fig:MalahatTestBox} *Weather from the Malahat station for two year periods prior to and during this study (MoTI ID 62091).*"</w:t>
      </w:r>
      <w:r>
        <w:br/>
      </w:r>
      <w:r>
        <w:br/>
      </w: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"R-outputs_UBC-forWater-MSc_HMc/figures/Wx_Malahat_plot_pre-MSc-2years.png"</w:t>
      </w:r>
      <w:r>
        <w:rPr>
          <w:rStyle w:val="NormalTok"/>
        </w:rPr>
        <w:t xml:space="preserve">)</w:t>
      </w:r>
    </w:p>
    <w:p>
      <w:pPr>
        <w:pStyle w:val="CaptionedFigure"/>
      </w:pPr>
      <w:r>
        <w:drawing>
          <wp:inline>
            <wp:extent cx="5943600" cy="3668888"/>
            <wp:effectExtent b="0" l="0" r="0" t="0"/>
            <wp:docPr descr="Figure 29: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13"/>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SourceCode"/>
      </w:pPr>
      <w:r>
        <w:rPr>
          <w:rStyle w:val="KeywordTok"/>
        </w:rPr>
        <w:t xml:space="preserve">read_csv</w:t>
      </w:r>
      <w:r>
        <w:rPr>
          <w:rStyle w:val="NormalTok"/>
        </w:rPr>
        <w:t xml:space="preserve">(</w:t>
      </w:r>
      <w:r>
        <w:rPr>
          <w:rStyle w:val="StringTok"/>
        </w:rPr>
        <w:t xml:space="preserve">"R-outputs_UBC-forWater-MSc_HMc/tables/Wx_Malahat_Wilcoxtest_pre-MSc-2years.csv"</w:t>
      </w:r>
      <w:r>
        <w:rPr>
          <w:rStyle w:val="NormalTok"/>
        </w:rPr>
        <w:t xml:space="preserve">, </w:t>
      </w:r>
      <w:r>
        <w:rPr>
          <w:rStyle w:val="DataTypeTok"/>
        </w:rPr>
        <w:t xml:space="preserve">col_names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digits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DataTypeTok"/>
        </w:rPr>
        <w:t xml:space="preserve">caption =</w:t>
      </w:r>
      <w:r>
        <w:rPr>
          <w:rStyle w:val="NormalTok"/>
        </w:rPr>
        <w:t xml:space="preserve"> </w:t>
      </w:r>
      <w:r>
        <w:rPr>
          <w:rStyle w:val="StringTok"/>
        </w:rPr>
        <w:t xml:space="preserve">"*Results of Wilcoxon test for Malahat weather data before and during the study period*"</w:t>
      </w:r>
      <w:r>
        <w:rPr>
          <w:rStyle w:val="NormalTok"/>
        </w:rPr>
        <w:t xml:space="preserve">)</w:t>
      </w:r>
    </w:p>
    <w:p>
      <w:pPr>
        <w:pStyle w:val="TableCaption"/>
      </w:pPr>
      <w:r>
        <w:t xml:space="preserve">Table 18:</w:t>
      </w:r>
      <w:r>
        <w:t xml:space="preserve"> </w:t>
      </w:r>
      <w:r>
        <w:rPr>
          <w:i/>
        </w:rPr>
        <w:t xml:space="preserve">Results of Wilcoxon test for Malahat weather data before and during the study period</w:t>
      </w:r>
    </w:p>
    <w:tbl>
      <w:tblPr>
        <w:tblStyle w:val="Table"/>
        <w:tblW w:type="pct" w:w="0.0"/>
        <w:tblLook w:firstRow="1"/>
        <w:tblCaption w:val="Table 18: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pPr>
              <w:pStyle w:val="Compact"/>
              <w:jc w:val="left"/>
            </w:pPr>
            <w:r>
              <w:t xml:space="preserve">NA</w:t>
            </w:r>
          </w:p>
        </w:tc>
      </w:tr>
      <w:tr>
        <w:tc>
          <w:p>
            <w:pPr>
              <w:pStyle w:val="Compact"/>
              <w:jc w:val="left"/>
            </w:pPr>
            <w:r>
              <w:t xml:space="preserve">temp_min</w:t>
            </w:r>
          </w:p>
        </w:tc>
        <w:tc>
          <w:p>
            <w:pPr>
              <w:pStyle w:val="Compact"/>
              <w:jc w:val="right"/>
            </w:pPr>
            <w:r>
              <w:t xml:space="preserve">3.826166e-01</w:t>
            </w:r>
          </w:p>
        </w:tc>
        <w:tc>
          <w:p>
            <w:pPr>
              <w:pStyle w:val="Compact"/>
              <w:jc w:val="left"/>
            </w:pPr>
            <w:r>
              <w:t xml:space="preserve">NA</w:t>
            </w:r>
          </w:p>
        </w:tc>
      </w:tr>
      <w:tr>
        <w:tc>
          <w:p>
            <w:pPr>
              <w:pStyle w:val="Compact"/>
              <w:jc w:val="left"/>
            </w:pPr>
            <w:r>
              <w:t xml:space="preserve">temp_max</w:t>
            </w:r>
          </w:p>
        </w:tc>
        <w:tc>
          <w:p>
            <w:pPr>
              <w:pStyle w:val="Compact"/>
              <w:jc w:val="right"/>
            </w:pPr>
            <w:r>
              <w:t xml:space="preserve">4.694509e-01</w:t>
            </w:r>
          </w:p>
        </w:tc>
        <w:tc>
          <w:p>
            <w:pPr>
              <w:pStyle w:val="Compact"/>
              <w:jc w:val="left"/>
            </w:pPr>
            <w:r>
              <w:t xml:space="preserve">NA</w:t>
            </w:r>
          </w:p>
        </w:tc>
      </w:tr>
    </w:tbl>
    <w:p>
      <w:pPr>
        <w:pStyle w:val="BodyText"/>
      </w:pPr>
      <w:r>
        <w:t xml:space="preserve"> </w:t>
      </w:r>
    </w:p>
    <w:p>
      <w:pPr>
        <w:pStyle w:val="Heading9"/>
      </w:pPr>
      <w:bookmarkStart w:id="114" w:name="Xce8fa8365ce60c173c7cf963ead1de6f5cbd7c4"/>
      <w:r>
        <w:t xml:space="preserve">DOC association with other water quality parameters</w:t>
      </w:r>
      <w:bookmarkEnd w:id="114"/>
    </w:p>
    <w:p>
      <w:pPr>
        <w:pStyle w:val="FirstParagraph"/>
      </w:pPr>
      <w:r>
        <w:rPr>
          <w:i/>
          <w:b/>
        </w:rPr>
        <w:t xml:space="preserve">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30</w:t>
      </w:r>
      <w:r>
        <w:t xml:space="preserve"> </w:t>
      </w:r>
      <w:r>
        <w:t xml:space="preserve">shows DOC with total metals in μg/L, and Figure</w:t>
      </w:r>
      <w:r>
        <w:t xml:space="preserve"> </w:t>
      </w:r>
      <w:r>
        <w:t xml:space="preserve">31</w:t>
      </w:r>
      <w:r>
        <w:t xml:space="preserve"> </w:t>
      </w:r>
      <w:r>
        <w:t xml:space="preserve">shows metals in mg/L).</w:t>
      </w:r>
    </w:p>
    <w:p>
      <w:pPr>
        <w:pStyle w:val="BodyText"/>
      </w:pPr>
      <w:r>
        <w:t xml:space="preserve"> </w:t>
      </w:r>
    </w:p>
    <w:p>
      <w:pPr>
        <w:pStyle w:val="SourceCode"/>
      </w:pPr>
      <w:r>
        <w:rPr>
          <w:rStyle w:val="NormalTok"/>
        </w:rPr>
        <w:t xml:space="preserve">fig_cap =</w:t>
      </w:r>
      <w:r>
        <w:rPr>
          <w:rStyle w:val="StringTok"/>
        </w:rPr>
        <w:t xml:space="preserve"> "</w:t>
      </w:r>
      <w:r>
        <w:rPr>
          <w:rStyle w:val="CharTok"/>
        </w:rPr>
        <w:t xml:space="preserve">\\</w:t>
      </w:r>
      <w:r>
        <w:rPr>
          <w:rStyle w:val="StringTok"/>
        </w:rPr>
        <w:t xml:space="preserve">label{fig:metalsug} *Concentrations of total metals (in μg/L) and dissolved organic carbon.*"</w:t>
      </w:r>
      <w:r>
        <w:br/>
      </w:r>
      <w:r>
        <w:br/>
      </w: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"R-outputs_UBC-forWater-MSc_HMc/figures/metals-doc_ugL_scatterplots.png"</w:t>
      </w:r>
      <w:r>
        <w:rPr>
          <w:rStyle w:val="NormalTok"/>
        </w:rPr>
        <w:t xml:space="preserve">)</w:t>
      </w:r>
    </w:p>
    <w:p>
      <w:pPr>
        <w:pStyle w:val="CaptionedFigure"/>
      </w:pPr>
      <w:r>
        <w:drawing>
          <wp:inline>
            <wp:extent cx="5943600" cy="3668888"/>
            <wp:effectExtent b="0" l="0" r="0" t="0"/>
            <wp:docPr descr="Figure 30: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15"/>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Concentrations of total metals (in µg/L) and dissolved organic carbon.</w:t>
      </w:r>
    </w:p>
    <w:p>
      <w:pPr>
        <w:pStyle w:val="BodyText"/>
      </w:pPr>
      <w:r>
        <w:t xml:space="preserve"> </w:t>
      </w:r>
    </w:p>
    <w:p>
      <w:pPr>
        <w:pStyle w:val="SourceCode"/>
      </w:pPr>
      <w:r>
        <w:rPr>
          <w:rStyle w:val="NormalTok"/>
        </w:rPr>
        <w:t xml:space="preserve">fig_cap =</w:t>
      </w:r>
      <w:r>
        <w:rPr>
          <w:rStyle w:val="StringTok"/>
        </w:rPr>
        <w:t xml:space="preserve"> "</w:t>
      </w:r>
      <w:r>
        <w:rPr>
          <w:rStyle w:val="CharTok"/>
        </w:rPr>
        <w:t xml:space="preserve">\\</w:t>
      </w:r>
      <w:r>
        <w:rPr>
          <w:rStyle w:val="StringTok"/>
        </w:rPr>
        <w:t xml:space="preserve">label{fig:metalsmg} *Concentrations of total metals (in mg/L) and dissolved organic carbon.*"</w:t>
      </w:r>
      <w:r>
        <w:br/>
      </w:r>
      <w:r>
        <w:br/>
      </w: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"R-outputs_UBC-forWater-MSc_HMc/figures/metals-doc_mgL_scatterplots.png"</w:t>
      </w:r>
      <w:r>
        <w:rPr>
          <w:rStyle w:val="NormalTok"/>
        </w:rPr>
        <w:t xml:space="preserve">)</w:t>
      </w:r>
    </w:p>
    <w:p>
      <w:pPr>
        <w:pStyle w:val="CaptionedFigure"/>
      </w:pPr>
      <w:r>
        <w:drawing>
          <wp:inline>
            <wp:extent cx="5943600" cy="3668888"/>
            <wp:effectExtent b="0" l="0" r="0" t="0"/>
            <wp:docPr descr="Figure 31: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16"/>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19</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SourceCode"/>
      </w:pPr>
      <w:r>
        <w:rPr>
          <w:rStyle w:val="KeywordTok"/>
        </w:rPr>
        <w:t xml:space="preserve">read_csv</w:t>
      </w:r>
      <w:r>
        <w:rPr>
          <w:rStyle w:val="NormalTok"/>
        </w:rPr>
        <w:t xml:space="preserve">(</w:t>
      </w:r>
      <w:r>
        <w:rPr>
          <w:rStyle w:val="StringTok"/>
        </w:rPr>
        <w:t xml:space="preserve">"R-outputs_UBC-forWater-MSc_HMc/tables/metals-doc_correlations.csv"</w:t>
      </w:r>
      <w:r>
        <w:rPr>
          <w:rStyle w:val="NormalTok"/>
        </w:rPr>
        <w:t xml:space="preserve">, </w:t>
      </w:r>
      <w:r>
        <w:br/>
      </w:r>
      <w:r>
        <w:rPr>
          <w:rStyle w:val="NormalTok"/>
        </w:rPr>
        <w:t xml:space="preserve">         </w:t>
      </w:r>
      <w:r>
        <w:rPr>
          <w:rStyle w:val="DataTypeTok"/>
        </w:rPr>
        <w:t xml:space="preserve">col_names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digits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DataTypeTok"/>
        </w:rPr>
        <w:t xml:space="preserve">col.names =</w:t>
      </w:r>
      <w:r>
        <w:rPr>
          <w:rStyle w:val="NormalTok"/>
        </w:rPr>
        <w:t xml:space="preserve"> </w:t>
      </w:r>
      <w:r>
        <w:rPr>
          <w:rStyle w:val="KeywordTok"/>
        </w:rPr>
        <w:t xml:space="preserve">c</w:t>
      </w:r>
      <w:r>
        <w:rPr>
          <w:rStyle w:val="NormalTok"/>
        </w:rPr>
        <w:t xml:space="preserve">(</w:t>
      </w:r>
      <w:r>
        <w:rPr>
          <w:rStyle w:val="StringTok"/>
        </w:rPr>
        <w:t xml:space="preserve">"Metal"</w:t>
      </w:r>
      <w:r>
        <w:rPr>
          <w:rStyle w:val="NormalTok"/>
        </w:rPr>
        <w:t xml:space="preserve">, </w:t>
      </w:r>
      <w:r>
        <w:rPr>
          <w:rStyle w:val="StringTok"/>
        </w:rPr>
        <w:t xml:space="preserve">"unit"</w:t>
      </w:r>
      <w:r>
        <w:rPr>
          <w:rStyle w:val="NormalTok"/>
        </w:rPr>
        <w:t xml:space="preserve">, </w:t>
      </w:r>
      <w:r>
        <w:rPr>
          <w:rStyle w:val="StringTok"/>
        </w:rPr>
        <w:t xml:space="preserve">"count"</w:t>
      </w:r>
      <w:r>
        <w:rPr>
          <w:rStyle w:val="NormalTok"/>
        </w:rPr>
        <w:t xml:space="preserve">, </w:t>
      </w:r>
      <w:r>
        <w:rPr>
          <w:rStyle w:val="StringTok"/>
        </w:rPr>
        <w:t xml:space="preserve">"slope"</w:t>
      </w:r>
      <w:r>
        <w:rPr>
          <w:rStyle w:val="NormalTok"/>
        </w:rPr>
        <w:t xml:space="preserve">, </w:t>
      </w:r>
      <w:r>
        <w:rPr>
          <w:rStyle w:val="StringTok"/>
        </w:rPr>
        <w:t xml:space="preserve">"Y intercept"</w:t>
      </w:r>
      <w:r>
        <w:rPr>
          <w:rStyle w:val="NormalTok"/>
        </w:rPr>
        <w:t xml:space="preserve">, </w:t>
      </w:r>
      <w:r>
        <w:rPr>
          <w:rStyle w:val="StringTok"/>
        </w:rPr>
        <w:t xml:space="preserve">"R squared"</w:t>
      </w:r>
      <w:r>
        <w:rPr>
          <w:rStyle w:val="NormalTok"/>
        </w:rPr>
        <w:t xml:space="preserve">),</w:t>
      </w:r>
      <w:r>
        <w:br/>
      </w:r>
      <w:r>
        <w:rPr>
          <w:rStyle w:val="NormalTok"/>
        </w:rPr>
        <w:t xml:space="preserve">               </w:t>
      </w:r>
      <w:r>
        <w:rPr>
          <w:rStyle w:val="DataTypeTok"/>
        </w:rPr>
        <w:t xml:space="preserve">caption =</w:t>
      </w:r>
      <w:r>
        <w:rPr>
          <w:rStyle w:val="NormalTok"/>
        </w:rPr>
        <w:t xml:space="preserve"> </w:t>
      </w:r>
      <w:r>
        <w:rPr>
          <w:rStyle w:val="StringTok"/>
        </w:rPr>
        <w:t xml:space="preserve">"*Relationships between total metals with dissolved organic carbon*"</w:t>
      </w:r>
      <w:r>
        <w:rPr>
          <w:rStyle w:val="NormalTok"/>
        </w:rPr>
        <w:t xml:space="preserve">)</w:t>
      </w:r>
    </w:p>
    <w:p>
      <w:pPr>
        <w:pStyle w:val="TableCaption"/>
      </w:pPr>
      <w:r>
        <w:t xml:space="preserve">Table 19:</w:t>
      </w:r>
      <w:r>
        <w:t xml:space="preserve"> </w:t>
      </w:r>
      <w:r>
        <w:rPr>
          <w:i/>
        </w:rPr>
        <w:t xml:space="preserve">Relationships between total metals with dissolved organic carbon</w:t>
      </w:r>
    </w:p>
    <w:tbl>
      <w:tblPr>
        <w:tblStyle w:val="Table"/>
        <w:tblW w:type="pct" w:w="0.0"/>
        <w:tblLook w:firstRow="1"/>
        <w:tblCaption w:val="Table 19: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BodyText"/>
      </w:pPr>
      <w:r>
        <w:rPr>
          <w:i/>
          <w:b/>
        </w:rPr>
        <w:t xml:space="preserve">Nitrate &amp; DOC</w:t>
      </w:r>
    </w:p>
    <w:p>
      <w:pPr>
        <w:pStyle w:val="BodyText"/>
      </w:pPr>
      <w:r>
        <w:t xml:space="preserve">Each sample that was analyzed on the Spectrolyser resulted in an estimate of DOC and nitrate concentrations based on sample UV-Vis light absorption. Estimated concentrations of nitrate were positively related to DOC concentration (Figure</w:t>
      </w:r>
      <w:r>
        <w:t xml:space="preserve"> </w:t>
      </w:r>
      <w:r>
        <w:t xml:space="preserve">32</w:t>
      </w:r>
      <w:r>
        <w:t xml:space="preserve">).</w:t>
      </w:r>
    </w:p>
    <w:p>
      <w:pPr>
        <w:pStyle w:val="BodyText"/>
      </w:pPr>
      <w:r>
        <w:t xml:space="preserve"> </w:t>
      </w:r>
    </w:p>
    <w:p>
      <w:pPr>
        <w:pStyle w:val="SourceCode"/>
      </w:pPr>
      <w:r>
        <w:rPr>
          <w:rStyle w:val="NormalTok"/>
        </w:rPr>
        <w:t xml:space="preserve">fig_cap =</w:t>
      </w:r>
      <w:r>
        <w:rPr>
          <w:rStyle w:val="StringTok"/>
        </w:rPr>
        <w:t xml:space="preserve"> "</w:t>
      </w:r>
      <w:r>
        <w:rPr>
          <w:rStyle w:val="CharTok"/>
        </w:rPr>
        <w:t xml:space="preserve">\\</w:t>
      </w:r>
      <w:r>
        <w:rPr>
          <w:rStyle w:val="StringTok"/>
        </w:rPr>
        <w:t xml:space="preserve">label{fig:nitrate1} *Concentration of nitrate (estimated via UV-Vis absorption) and dissolved organic carbon.*"</w:t>
      </w:r>
      <w:r>
        <w:br/>
      </w:r>
      <w:r>
        <w:br/>
      </w: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"R-outputs_UBC-forWater-MSc_HMc/figures/nitrate-DOC_scatter.png"</w:t>
      </w:r>
      <w:r>
        <w:rPr>
          <w:rStyle w:val="NormalTok"/>
        </w:rPr>
        <w:t xml:space="preserve">)</w:t>
      </w:r>
    </w:p>
    <w:p>
      <w:pPr>
        <w:pStyle w:val="CaptionedFigure"/>
      </w:pPr>
      <w:r>
        <w:drawing>
          <wp:inline>
            <wp:extent cx="5943600" cy="3668888"/>
            <wp:effectExtent b="0" l="0" r="0" t="0"/>
            <wp:docPr descr="Figure 32:  Concentration of nitrate (estimated via UV-Vis absorption) and dissolved organic carbon." title="" id="1" name="Picture"/>
            <a:graphic>
              <a:graphicData uri="http://schemas.openxmlformats.org/drawingml/2006/picture">
                <pic:pic>
                  <pic:nvPicPr>
                    <pic:cNvPr descr="R-outputs_UBC-forWater-MSc_HMc/figures/nitrate-DOC_scatter.png" id="0" name="Picture"/>
                    <pic:cNvPicPr>
                      <a:picLocks noChangeArrowheads="1" noChangeAspect="1"/>
                    </pic:cNvPicPr>
                  </pic:nvPicPr>
                  <pic:blipFill>
                    <a:blip r:embed="rId117"/>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Concentration of nitrate (estimated via UV-Vis absorption) and dissolved organic carbon.</w:t>
      </w:r>
    </w:p>
    <w:p>
      <w:pPr>
        <w:pStyle w:val="BodyText"/>
      </w:pPr>
      <w:r>
        <w:t xml:space="preserve"> </w:t>
      </w:r>
    </w:p>
    <w:p>
      <w:pPr>
        <w:pStyle w:val="BodyText"/>
      </w:pPr>
      <w:r>
        <w:t xml:space="preserve">UV absorbance based estimations of DOC concentration were more strongly correlated to nitrate estimates (Figure</w:t>
      </w:r>
      <w:r>
        <w:t xml:space="preserve"> </w:t>
      </w:r>
      <w:r>
        <w:t xml:space="preserve">33</w:t>
      </w:r>
      <w:r>
        <w:t xml:space="preserve">).</w:t>
      </w:r>
    </w:p>
    <w:p>
      <w:pPr>
        <w:pStyle w:val="BodyText"/>
      </w:pPr>
      <w:r>
        <w:t xml:space="preserve"> </w:t>
      </w:r>
    </w:p>
    <w:p>
      <w:pPr>
        <w:pStyle w:val="SourceCode"/>
      </w:pPr>
      <w:r>
        <w:rPr>
          <w:rStyle w:val="NormalTok"/>
        </w:rPr>
        <w:t xml:space="preserve">fig_cap =</w:t>
      </w:r>
      <w:r>
        <w:rPr>
          <w:rStyle w:val="StringTok"/>
        </w:rPr>
        <w:t xml:space="preserve"> "</w:t>
      </w:r>
      <w:r>
        <w:rPr>
          <w:rStyle w:val="CharTok"/>
        </w:rPr>
        <w:t xml:space="preserve">\\</w:t>
      </w:r>
      <w:r>
        <w:rPr>
          <w:rStyle w:val="StringTok"/>
        </w:rPr>
        <w:t xml:space="preserve">label{fig:nitrate2} *Concentration of nitrate and dissolved organic carbon, both estimated via UV-Vis absorption.*"</w:t>
      </w:r>
      <w:r>
        <w:br/>
      </w:r>
      <w:r>
        <w:br/>
      </w: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"R-outputs_UBC-forWater-MSc_HMc/figures/nitrate-DOCeq_scatter.png"</w:t>
      </w:r>
      <w:r>
        <w:rPr>
          <w:rStyle w:val="NormalTok"/>
        </w:rPr>
        <w:t xml:space="preserve">)</w:t>
      </w:r>
    </w:p>
    <w:p>
      <w:pPr>
        <w:pStyle w:val="CaptionedFigure"/>
      </w:pPr>
      <w:r>
        <w:drawing>
          <wp:inline>
            <wp:extent cx="5943600" cy="3668888"/>
            <wp:effectExtent b="0" l="0" r="0" t="0"/>
            <wp:docPr descr="Figure 33:  Concentration of nitrate and dissolved organic carbon, both estimated via UV-Vis absorption." title="" id="1" name="Picture"/>
            <a:graphic>
              <a:graphicData uri="http://schemas.openxmlformats.org/drawingml/2006/picture">
                <pic:pic>
                  <pic:nvPicPr>
                    <pic:cNvPr descr="R-outputs_UBC-forWater-MSc_HMc/figures/nitrate-DOCeq_scatter.png" id="0" name="Picture"/>
                    <pic:cNvPicPr>
                      <a:picLocks noChangeArrowheads="1" noChangeAspect="1"/>
                    </pic:cNvPicPr>
                  </pic:nvPicPr>
                  <pic:blipFill>
                    <a:blip r:embed="rId118"/>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Concentration of nitrate and dissolved organic carbon, both estimated via UV-Vis absorption.</w:t>
      </w:r>
    </w:p>
    <w:p>
      <w:pPr>
        <w:pStyle w:val="BodyText"/>
      </w:pPr>
      <w:r>
        <w:t xml:space="preserve"> </w:t>
      </w:r>
    </w:p>
    <w:p>
      <w:pPr>
        <w:pStyle w:val="BodyText"/>
      </w:pPr>
      <w:r>
        <w:rPr>
          <w:i/>
          <w:b/>
        </w:rPr>
        <w:t xml:space="preserve">Treatability &amp; DOC</w:t>
      </w:r>
    </w:p>
    <w:p>
      <w:pPr>
        <w:pStyle w:val="BodyText"/>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w:t>
      </w:r>
      <w:r>
        <w:t xml:space="preserve"> </w:t>
      </w:r>
      <w:r>
        <w:t xml:space="preserve">34</w:t>
      </w:r>
      <w:r>
        <w:t xml:space="preserve">). The relatively stronger correlation between DBP-FPs and UV-254 indicates that while DOM concentration is an important indicator of source water treatability challenges, the aromaticity of source water NOM may be an even more important driver.</w:t>
      </w:r>
    </w:p>
    <w:p>
      <w:pPr>
        <w:pStyle w:val="BodyText"/>
      </w:pPr>
      <w:r>
        <w:t xml:space="preserve"> </w:t>
      </w:r>
    </w:p>
    <w:p>
      <w:pPr>
        <w:pStyle w:val="SourceCode"/>
      </w:pPr>
      <w:r>
        <w:rPr>
          <w:rStyle w:val="NormalTok"/>
        </w:rPr>
        <w:t xml:space="preserve">fig_cap =</w:t>
      </w:r>
      <w:r>
        <w:rPr>
          <w:rStyle w:val="StringTok"/>
        </w:rPr>
        <w:t xml:space="preserve"> "</w:t>
      </w:r>
      <w:r>
        <w:rPr>
          <w:rStyle w:val="CharTok"/>
        </w:rPr>
        <w:t xml:space="preserve">\\</w:t>
      </w:r>
      <w:r>
        <w:rPr>
          <w:rStyle w:val="StringTok"/>
        </w:rPr>
        <w:t xml:space="preserve">label{fig:treatability} *Plots of disinfection by-product formation potentials (DBP-FPs) with dissolved organic carbon (left column) and UV absorbance at 254 nm (right column). Samples collected at four sites on two occasions.*"</w:t>
      </w:r>
      <w:r>
        <w:br/>
      </w:r>
      <w:r>
        <w:br/>
      </w: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"R-outputs_UBC-forWater-MSc_HMc/figures/treatability_DOC-UV254.png"</w:t>
      </w:r>
      <w:r>
        <w:rPr>
          <w:rStyle w:val="NormalTok"/>
        </w:rPr>
        <w:t xml:space="preserve">)</w:t>
      </w:r>
    </w:p>
    <w:p>
      <w:pPr>
        <w:pStyle w:val="CaptionedFigure"/>
      </w:pPr>
      <w:r>
        <w:drawing>
          <wp:inline>
            <wp:extent cx="5943600" cy="7641771"/>
            <wp:effectExtent b="0" l="0" r="0" t="0"/>
            <wp:docPr descr="Figure 34: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treatability_DOC-UV254.png" id="0" name="Picture"/>
                    <pic:cNvPicPr>
                      <a:picLocks noChangeArrowheads="1" noChangeAspect="1"/>
                    </pic:cNvPicPr>
                  </pic:nvPicPr>
                  <pic:blipFill>
                    <a:blip r:embed="rId11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34:</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Compact"/>
        <w:numPr>
          <w:numId w:val="1008"/>
          <w:ilvl w:val="0"/>
        </w:numPr>
      </w:pPr>
      <w:r>
        <w:t xml:space="preserve">TO DO: add comparison of treatability metrics at Tunnel versus Sooke Tribs</w:t>
      </w:r>
    </w:p>
    <w:p>
      <w:pPr>
        <w:pStyle w:val="FirstParagraph"/>
      </w:pPr>
      <w:r>
        <w:t xml:space="preserve"> </w:t>
      </w:r>
    </w:p>
    <w:p>
      <w:pPr>
        <w:pStyle w:val="BodyText"/>
      </w:pPr>
      <w:r>
        <w:rPr>
          <w:i/>
          <w:b/>
        </w:rPr>
        <w:t xml:space="preserve">?</w:t>
      </w:r>
    </w:p>
    <w:p>
      <w:pPr>
        <w:pStyle w:val="Compact"/>
        <w:numPr>
          <w:numId w:val="1009"/>
          <w:ilvl w:val="0"/>
        </w:numPr>
      </w:pPr>
      <w:r>
        <w:t xml:space="preserve">Gauging Streamflow (?)</w:t>
      </w:r>
    </w:p>
    <w:p>
      <w:pPr>
        <w:pStyle w:val="Compact"/>
        <w:numPr>
          <w:numId w:val="1009"/>
          <w:ilvl w:val="0"/>
        </w:numPr>
      </w:pPr>
      <w:r>
        <w:t xml:space="preserve">Instrument calibration</w:t>
      </w:r>
    </w:p>
    <w:p>
      <w:pPr>
        <w:pStyle w:val="Compact"/>
        <w:numPr>
          <w:numId w:val="1009"/>
          <w:ilvl w:val="0"/>
        </w:numPr>
      </w:pPr>
      <w:r>
        <w:t xml:space="preserve">Calibration verification (cal vers)</w:t>
      </w:r>
    </w:p>
    <w:p>
      <w:pPr>
        <w:pStyle w:val="Heading1"/>
      </w:pPr>
      <w:bookmarkStart w:id="120" w:name="references-1"/>
      <w:r>
        <w:t xml:space="preserve">References</w:t>
      </w:r>
      <w:bookmarkEnd w:id="120"/>
    </w:p>
    <w:bookmarkStart w:id="204" w:name="refs"/>
    <w:bookmarkStart w:id="122"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21">
        <w:r>
          <w:rPr>
            <w:rStyle w:val="Hyperlink"/>
          </w:rPr>
          <w:t xml:space="preserve">https://doi.org/10.1111/ele.12897</w:t>
        </w:r>
      </w:hyperlink>
      <w:r>
        <w:t xml:space="preserve">.</w:t>
      </w:r>
    </w:p>
    <w:bookmarkEnd w:id="122"/>
    <w:bookmarkStart w:id="124"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23">
        <w:r>
          <w:rPr>
            <w:rStyle w:val="Hyperlink"/>
          </w:rPr>
          <w:t xml:space="preserve">https://doi.org/10.1021/es103992s</w:t>
        </w:r>
      </w:hyperlink>
      <w:r>
        <w:t xml:space="preserve">.</w:t>
      </w:r>
    </w:p>
    <w:bookmarkEnd w:id="124"/>
    <w:bookmarkStart w:id="126"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25">
        <w:r>
          <w:rPr>
            <w:rStyle w:val="Hyperlink"/>
          </w:rPr>
          <w:t xml:space="preserve">https://doi.org/10.1016/j.jhydrol.2014.05.060</w:t>
        </w:r>
      </w:hyperlink>
      <w:r>
        <w:t xml:space="preserve">.</w:t>
      </w:r>
    </w:p>
    <w:bookmarkEnd w:id="126"/>
    <w:bookmarkStart w:id="128" w:name="ref-BC2019"/>
    <w:p>
      <w:pPr>
        <w:pStyle w:val="Bibliography"/>
      </w:pPr>
      <w:r>
        <w:t xml:space="preserve">British Columbia Ministry of Environment. 2017. “Source Drinking Water Quality Guidelines: Guideline Summary.” Victoria, B.C.: Prov. B.C.</w:t>
      </w:r>
      <w:r>
        <w:t xml:space="preserve"> </w:t>
      </w:r>
      <w:hyperlink r:id="rId127">
        <w:r>
          <w:rPr>
            <w:rStyle w:val="Hyperlink"/>
          </w:rPr>
          <w:t xml:space="preserve">https://www2.gov.bc.ca/gov/content/governments/organizational-structure/ministries-organizations/ministries/environment-climate-change</w:t>
        </w:r>
      </w:hyperlink>
      <w:r>
        <w:t xml:space="preserve">.</w:t>
      </w:r>
    </w:p>
    <w:bookmarkEnd w:id="128"/>
    <w:bookmarkStart w:id="129" w:name="ref-CCME2004"/>
    <w:p>
      <w:pPr>
        <w:pStyle w:val="Bibliography"/>
      </w:pPr>
      <w:r>
        <w:t xml:space="preserve">Canadian Council of Ministers of the Environment. 2004. “From source to tap : guidance on the multi-barrier approach to safe drinking water.”</w:t>
      </w:r>
    </w:p>
    <w:bookmarkEnd w:id="129"/>
    <w:bookmarkStart w:id="131"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30">
        <w:r>
          <w:rPr>
            <w:rStyle w:val="Hyperlink"/>
          </w:rPr>
          <w:t xml:space="preserve">https://doi.org/10.2166/aqua.2008.064</w:t>
        </w:r>
      </w:hyperlink>
      <w:r>
        <w:t xml:space="preserve">.</w:t>
      </w:r>
    </w:p>
    <w:bookmarkEnd w:id="131"/>
    <w:bookmarkStart w:id="133" w:name="ref-CapitalRegionDistrict2017"/>
    <w:p>
      <w:pPr>
        <w:pStyle w:val="Bibliography"/>
      </w:pPr>
      <w:r>
        <w:t xml:space="preserve">CRD. 2017. “Regional Water Supply 2017 Strategic Plan.” Victoria, B.C.: Capital Region District, Integrated Water Services.</w:t>
      </w:r>
      <w:r>
        <w:t xml:space="preserve"> </w:t>
      </w:r>
      <w:hyperlink r:id="rId132">
        <w:r>
          <w:rPr>
            <w:rStyle w:val="Hyperlink"/>
          </w:rPr>
          <w:t xml:space="preserve">https://www.crd.bc.ca/project/past-capital-projects-and-initiatives/water-supply-plan</w:t>
        </w:r>
      </w:hyperlink>
      <w:r>
        <w:t xml:space="preserve">.</w:t>
      </w:r>
    </w:p>
    <w:bookmarkEnd w:id="133"/>
    <w:bookmarkStart w:id="135"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34">
        <w:r>
          <w:rPr>
            <w:rStyle w:val="Hyperlink"/>
          </w:rPr>
          <w:t xml:space="preserve">https://doi.org/IWSS-297445977-5079</w:t>
        </w:r>
      </w:hyperlink>
      <w:r>
        <w:t xml:space="preserve">.</w:t>
      </w:r>
    </w:p>
    <w:bookmarkEnd w:id="135"/>
    <w:bookmarkStart w:id="137"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36">
        <w:r>
          <w:rPr>
            <w:rStyle w:val="Hyperlink"/>
          </w:rPr>
          <w:t xml:space="preserve">https://doi.org/10.1139/cjfas-2014-0400</w:t>
        </w:r>
      </w:hyperlink>
      <w:r>
        <w:t xml:space="preserve">.</w:t>
      </w:r>
    </w:p>
    <w:bookmarkEnd w:id="137"/>
    <w:bookmarkStart w:id="139"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138">
        <w:r>
          <w:rPr>
            <w:rStyle w:val="Hyperlink"/>
          </w:rPr>
          <w:t xml:space="preserve">https://doi.org/10.1016/B978-0-12-382092-1.00019-1</w:t>
        </w:r>
      </w:hyperlink>
      <w:r>
        <w:t xml:space="preserve">.</w:t>
      </w:r>
    </w:p>
    <w:bookmarkEnd w:id="139"/>
    <w:bookmarkStart w:id="141"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40">
        <w:r>
          <w:rPr>
            <w:rStyle w:val="Hyperlink"/>
          </w:rPr>
          <w:t xml:space="preserve">https://doi.org/10.1016/j.watres.2016.08.031</w:t>
        </w:r>
      </w:hyperlink>
      <w:r>
        <w:t xml:space="preserve">.</w:t>
      </w:r>
    </w:p>
    <w:bookmarkEnd w:id="141"/>
    <w:bookmarkStart w:id="143"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42">
        <w:r>
          <w:rPr>
            <w:rStyle w:val="Hyperlink"/>
          </w:rPr>
          <w:t xml:space="preserve">http://scholar.google.com/scholar?hl=en{\&amp;}btnG=Search{\&amp;}q=intitle:Running+Pure{\#}1</w:t>
        </w:r>
      </w:hyperlink>
      <w:r>
        <w:t xml:space="preserve">.</w:t>
      </w:r>
    </w:p>
    <w:bookmarkEnd w:id="143"/>
    <w:bookmarkStart w:id="145" w:name="ref-StdMet2000"/>
    <w:p>
      <w:pPr>
        <w:pStyle w:val="Bibliography"/>
      </w:pPr>
      <w:r>
        <w:t xml:space="preserve">Eaton, A. D., Clesceri, L. S., Greenberg, A. E., Franson, M. A. H. 2000. “Total Organic Carbon (TOC) - 5310 A.” In</w:t>
      </w:r>
      <w:r>
        <w:t xml:space="preserve"> </w:t>
      </w:r>
      <w:r>
        <w:rPr>
          <w:i/>
        </w:rPr>
        <w:t xml:space="preserve">Standard Methods for the Examination of Water and Wastewater</w:t>
      </w:r>
      <w:r>
        <w:t xml:space="preserve">, 6th ed., 19–20. Washington, DC: American Public Health Association.</w:t>
      </w:r>
      <w:r>
        <w:t xml:space="preserve"> </w:t>
      </w:r>
      <w:hyperlink r:id="rId144">
        <w:r>
          <w:rPr>
            <w:rStyle w:val="Hyperlink"/>
          </w:rPr>
          <w:t xml:space="preserve">http://www.standardmethods.org/</w:t>
        </w:r>
      </w:hyperlink>
      <w:r>
        <w:t xml:space="preserve">.</w:t>
      </w:r>
    </w:p>
    <w:bookmarkEnd w:id="145"/>
    <w:bookmarkStart w:id="147"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46">
        <w:r>
          <w:rPr>
            <w:rStyle w:val="Hyperlink"/>
          </w:rPr>
          <w:t xml:space="preserve">https://doi.org/10.1016/j.watres.2010.08.051</w:t>
        </w:r>
      </w:hyperlink>
      <w:r>
        <w:t xml:space="preserve">.</w:t>
      </w:r>
    </w:p>
    <w:bookmarkEnd w:id="147"/>
    <w:bookmarkStart w:id="149"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48">
        <w:r>
          <w:rPr>
            <w:rStyle w:val="Hyperlink"/>
          </w:rPr>
          <w:t xml:space="preserve">https://doi.org/10.3133/fs06700</w:t>
        </w:r>
      </w:hyperlink>
      <w:r>
        <w:t xml:space="preserve">.</w:t>
      </w:r>
    </w:p>
    <w:bookmarkEnd w:id="149"/>
    <w:bookmarkStart w:id="151" w:name="ref-HealthCanada2019"/>
    <w:p>
      <w:pPr>
        <w:pStyle w:val="Bibliography"/>
      </w:pPr>
      <w:r>
        <w:t xml:space="preserve">Health Canada. 2019. “Guidance on Natural Organic Matter in Drinking Water.”</w:t>
      </w:r>
      <w:r>
        <w:t xml:space="preserve"> </w:t>
      </w:r>
      <w:hyperlink r:id="rId150">
        <w:r>
          <w:rPr>
            <w:rStyle w:val="Hyperlink"/>
          </w:rPr>
          <w:t xml:space="preserve">https://www.canada.ca/content/dam/hc-sc/documents/programs/consultation-organic-matter-drinking-water/NOM20190129-eng.pdf</w:t>
        </w:r>
      </w:hyperlink>
      <w:r>
        <w:t xml:space="preserve">.</w:t>
      </w:r>
    </w:p>
    <w:bookmarkEnd w:id="151"/>
    <w:bookmarkStart w:id="153" w:name="ref-HealthCanada2006"/>
    <w:p>
      <w:pPr>
        <w:pStyle w:val="Bibliography"/>
      </w:pPr>
      <w:r>
        <w:t xml:space="preserve">HealthCanada. 2006. “Drinking Water Chlorination.”</w:t>
      </w:r>
      <w:r>
        <w:t xml:space="preserve"> </w:t>
      </w:r>
      <w:hyperlink r:id="rId152">
        <w:r>
          <w:rPr>
            <w:rStyle w:val="Hyperlink"/>
          </w:rPr>
          <w:t xml:space="preserve">https://www.canada.ca/en/health-canada/services/healthy-living/your-health/environment/drinking-water-chlorination.html</w:t>
        </w:r>
      </w:hyperlink>
      <w:r>
        <w:t xml:space="preserve">.</w:t>
      </w:r>
    </w:p>
    <w:bookmarkEnd w:id="153"/>
    <w:bookmarkStart w:id="155" w:name="ref-HealthLinkBC2018"/>
    <w:p>
      <w:pPr>
        <w:pStyle w:val="Bibliography"/>
      </w:pPr>
      <w:r>
        <w:t xml:space="preserve">HealthLinkBC. 2018. “Drinking Water Chlorination,” no. 49.</w:t>
      </w:r>
      <w:r>
        <w:t xml:space="preserve"> </w:t>
      </w:r>
      <w:hyperlink r:id="rId154">
        <w:r>
          <w:rPr>
            <w:rStyle w:val="Hyperlink"/>
          </w:rPr>
          <w:t xml:space="preserve">https://www.healthlinkbc.ca/healthlinkbc-files/drinking-water-chlorination</w:t>
        </w:r>
      </w:hyperlink>
      <w:r>
        <w:t xml:space="preserve">.</w:t>
      </w:r>
    </w:p>
    <w:bookmarkEnd w:id="155"/>
    <w:bookmarkStart w:id="157" w:name="ref-Helms2008"/>
    <w:p>
      <w:pPr>
        <w:pStyle w:val="Bibliography"/>
      </w:pPr>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w:t>
      </w:r>
      <w:r>
        <w:t xml:space="preserve"> </w:t>
      </w:r>
      <w:r>
        <w:rPr>
          <w:i/>
        </w:rPr>
        <w:t xml:space="preserve">Limnology and Oceanography</w:t>
      </w:r>
      <w:r>
        <w:t xml:space="preserve"> </w:t>
      </w:r>
      <w:r>
        <w:t xml:space="preserve">53 (3): 955–69.</w:t>
      </w:r>
      <w:r>
        <w:t xml:space="preserve"> </w:t>
      </w:r>
      <w:hyperlink r:id="rId156">
        <w:r>
          <w:rPr>
            <w:rStyle w:val="Hyperlink"/>
          </w:rPr>
          <w:t xml:space="preserve">https://www.jstor.org/stable/40058211</w:t>
        </w:r>
      </w:hyperlink>
      <w:r>
        <w:t xml:space="preserve">.</w:t>
      </w:r>
    </w:p>
    <w:bookmarkEnd w:id="157"/>
    <w:bookmarkStart w:id="159"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158">
        <w:r>
          <w:rPr>
            <w:rStyle w:val="Hyperlink"/>
          </w:rPr>
          <w:t xml:space="preserve">https://doi.org/10.1016/j.chemosphere.2015.03.039</w:t>
        </w:r>
      </w:hyperlink>
      <w:r>
        <w:t xml:space="preserve">.</w:t>
      </w:r>
    </w:p>
    <w:bookmarkEnd w:id="159"/>
    <w:bookmarkStart w:id="161"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160">
        <w:r>
          <w:rPr>
            <w:rStyle w:val="Hyperlink"/>
          </w:rPr>
          <w:t xml:space="preserve">https://doi.org/10.1002/j.1551-8833.1995.tb06302.x</w:t>
        </w:r>
      </w:hyperlink>
      <w:r>
        <w:t xml:space="preserve">.</w:t>
      </w:r>
    </w:p>
    <w:bookmarkEnd w:id="161"/>
    <w:bookmarkStart w:id="163"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162">
        <w:r>
          <w:rPr>
            <w:rStyle w:val="Hyperlink"/>
          </w:rPr>
          <w:t xml:space="preserve">https://doi.org/doi:10.1046/j.1365-2427.1997.d01-539.x</w:t>
        </w:r>
      </w:hyperlink>
      <w:r>
        <w:t xml:space="preserve">.</w:t>
      </w:r>
    </w:p>
    <w:bookmarkEnd w:id="163"/>
    <w:bookmarkStart w:id="165"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164">
        <w:r>
          <w:rPr>
            <w:rStyle w:val="Hyperlink"/>
          </w:rPr>
          <w:t xml:space="preserve">https://archive.org/details/metaltransportre00lazeuoft/mode/2up</w:t>
        </w:r>
      </w:hyperlink>
      <w:r>
        <w:t xml:space="preserve">.</w:t>
      </w:r>
    </w:p>
    <w:bookmarkEnd w:id="165"/>
    <w:bookmarkStart w:id="167"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166">
        <w:r>
          <w:rPr>
            <w:rStyle w:val="Hyperlink"/>
          </w:rPr>
          <w:t xml:space="preserve">https://doi.org/10.1016/j.jhazmat.2014.02.009</w:t>
        </w:r>
      </w:hyperlink>
      <w:r>
        <w:t xml:space="preserve">.</w:t>
      </w:r>
    </w:p>
    <w:bookmarkEnd w:id="167"/>
    <w:bookmarkStart w:id="169"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168">
        <w:r>
          <w:rPr>
            <w:rStyle w:val="Hyperlink"/>
          </w:rPr>
          <w:t xml:space="preserve">https://doi.org/10.1016/j.chemosphere.2011.01.018</w:t>
        </w:r>
      </w:hyperlink>
      <w:r>
        <w:t xml:space="preserve">.</w:t>
      </w:r>
    </w:p>
    <w:bookmarkEnd w:id="169"/>
    <w:bookmarkStart w:id="171"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170">
        <w:r>
          <w:rPr>
            <w:rStyle w:val="Hyperlink"/>
          </w:rPr>
          <w:t xml:space="preserve">https://doi.org/10.1016/j.cis.2010.06.007</w:t>
        </w:r>
      </w:hyperlink>
      <w:r>
        <w:t xml:space="preserve">.</w:t>
      </w:r>
    </w:p>
    <w:bookmarkEnd w:id="171"/>
    <w:bookmarkStart w:id="173"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172">
        <w:r>
          <w:rPr>
            <w:rStyle w:val="Hyperlink"/>
          </w:rPr>
          <w:t xml:space="preserve">https://www.jstor.org/stable/1937326</w:t>
        </w:r>
      </w:hyperlink>
      <w:r>
        <w:t xml:space="preserve">.</w:t>
      </w:r>
    </w:p>
    <w:bookmarkEnd w:id="173"/>
    <w:bookmarkStart w:id="174"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174"/>
    <w:bookmarkStart w:id="176"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175">
        <w:r>
          <w:rPr>
            <w:rStyle w:val="Hyperlink"/>
          </w:rPr>
          <w:t xml:space="preserve">https://doi.org/10.1007/s10533-015-0103-6</w:t>
        </w:r>
      </w:hyperlink>
      <w:r>
        <w:t xml:space="preserve">.</w:t>
      </w:r>
    </w:p>
    <w:bookmarkEnd w:id="176"/>
    <w:bookmarkStart w:id="178"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177">
        <w:r>
          <w:rPr>
            <w:rStyle w:val="Hyperlink"/>
          </w:rPr>
          <w:t xml:space="preserve">https://doi.org/10.5194/bg-10-2315-2013</w:t>
        </w:r>
      </w:hyperlink>
      <w:r>
        <w:t xml:space="preserve">.</w:t>
      </w:r>
    </w:p>
    <w:bookmarkEnd w:id="178"/>
    <w:bookmarkStart w:id="180"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179">
        <w:r>
          <w:rPr>
            <w:rStyle w:val="Hyperlink"/>
          </w:rPr>
          <w:t xml:space="preserve">https://doi.org/10.1007/s11270-013-1651-9</w:t>
        </w:r>
      </w:hyperlink>
      <w:r>
        <w:t xml:space="preserve">.</w:t>
      </w:r>
    </w:p>
    <w:bookmarkEnd w:id="180"/>
    <w:bookmarkStart w:id="182"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181">
        <w:r>
          <w:rPr>
            <w:rStyle w:val="Hyperlink"/>
          </w:rPr>
          <w:t xml:space="preserve">https://doi.org/10.1016/S0003-2670(96)00412-6</w:t>
        </w:r>
      </w:hyperlink>
      <w:r>
        <w:t xml:space="preserve">.</w:t>
      </w:r>
    </w:p>
    <w:bookmarkEnd w:id="182"/>
    <w:bookmarkStart w:id="184"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183">
        <w:r>
          <w:rPr>
            <w:rStyle w:val="Hyperlink"/>
          </w:rPr>
          <w:t xml:space="preserve">https://www.for.gov.bc.ca/hfd/pubs/docs/lmh/Lmh66/LMH66{\_}volume2of2.pdf</w:t>
        </w:r>
      </w:hyperlink>
      <w:r>
        <w:t xml:space="preserve">.</w:t>
      </w:r>
    </w:p>
    <w:bookmarkEnd w:id="184"/>
    <w:bookmarkStart w:id="185"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185"/>
    <w:bookmarkStart w:id="187"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186">
        <w:r>
          <w:rPr>
            <w:rStyle w:val="Hyperlink"/>
          </w:rPr>
          <w:t xml:space="preserve">https://doi.org/10.1007/sl0533-010-9416-7</w:t>
        </w:r>
      </w:hyperlink>
      <w:r>
        <w:t xml:space="preserve">.</w:t>
      </w:r>
    </w:p>
    <w:bookmarkEnd w:id="187"/>
    <w:bookmarkStart w:id="189"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188">
        <w:r>
          <w:rPr>
            <w:rStyle w:val="Hyperlink"/>
          </w:rPr>
          <w:t xml:space="preserve">https://www.jstor.org/stable/24702986</w:t>
        </w:r>
      </w:hyperlink>
      <w:r>
        <w:t xml:space="preserve">.</w:t>
      </w:r>
    </w:p>
    <w:bookmarkEnd w:id="189"/>
    <w:bookmarkStart w:id="191"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190">
        <w:r>
          <w:rPr>
            <w:rStyle w:val="Hyperlink"/>
          </w:rPr>
          <w:t xml:space="preserve">https://doi.org/10.1016/j.mrrev.2007.09.001</w:t>
        </w:r>
      </w:hyperlink>
      <w:r>
        <w:t xml:space="preserve">.</w:t>
      </w:r>
    </w:p>
    <w:bookmarkEnd w:id="191"/>
    <w:bookmarkStart w:id="193"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192">
        <w:r>
          <w:rPr>
            <w:rStyle w:val="Hyperlink"/>
          </w:rPr>
          <w:t xml:space="preserve">https://doi.org/10.1111/j.1365-2427.2011.02613.x</w:t>
        </w:r>
      </w:hyperlink>
      <w:r>
        <w:t xml:space="preserve">.</w:t>
      </w:r>
    </w:p>
    <w:bookmarkEnd w:id="193"/>
    <w:bookmarkStart w:id="194"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194"/>
    <w:bookmarkStart w:id="195"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195"/>
    <w:bookmarkStart w:id="197"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196">
        <w:r>
          <w:rPr>
            <w:rStyle w:val="Hyperlink"/>
          </w:rPr>
          <w:t xml:space="preserve">https://doi.org/10.1007/s10533-008-9207-6</w:t>
        </w:r>
      </w:hyperlink>
      <w:r>
        <w:t xml:space="preserve">.</w:t>
      </w:r>
    </w:p>
    <w:bookmarkEnd w:id="197"/>
    <w:bookmarkStart w:id="199"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198">
        <w:r>
          <w:rPr>
            <w:rStyle w:val="Hyperlink"/>
          </w:rPr>
          <w:t xml:space="preserve">https://doi.org/10.1021/es030360x</w:t>
        </w:r>
      </w:hyperlink>
      <w:r>
        <w:t xml:space="preserve">.</w:t>
      </w:r>
    </w:p>
    <w:bookmarkEnd w:id="199"/>
    <w:bookmarkStart w:id="201"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200">
        <w:r>
          <w:rPr>
            <w:rStyle w:val="Hyperlink"/>
          </w:rPr>
          <w:t xml:space="preserve">https://doi.org/10.1007/s11356-015-4078-6</w:t>
        </w:r>
      </w:hyperlink>
      <w:r>
        <w:t xml:space="preserve">.</w:t>
      </w:r>
    </w:p>
    <w:bookmarkEnd w:id="201"/>
    <w:bookmarkStart w:id="203"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02">
        <w:r>
          <w:rPr>
            <w:rStyle w:val="Hyperlink"/>
          </w:rPr>
          <w:t xml:space="preserve">https://doi.org/10.1029/2018GL080005</w:t>
        </w:r>
      </w:hyperlink>
      <w:r>
        <w:t xml:space="preserve">.</w:t>
      </w:r>
    </w:p>
    <w:bookmarkEnd w:id="203"/>
    <w:bookmarkEnd w:id="204"/>
    <w:sectPr w:rsidR="007B57E6" w:rsidRPr="001469F7" w:rsidSect="002F162A">
      <w:footerReference w:type="default" r:id="rId10"/>
      <w:foot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162A" w:rsidRDefault="002F162A">
    <w:pPr>
      <w:pStyle w:val="Footer"/>
      <w:jc w:val="right"/>
    </w:pPr>
    <w:r>
      <w:fldChar w:fldCharType="begin"/>
    </w:r>
    <w:r>
      <w:instrText xml:space="preserve"> PAGE   \* MERGEFORMAT </w:instrText>
    </w:r>
    <w:r>
      <w:fldChar w:fldCharType="separate"/>
    </w:r>
    <w:r>
      <w:rPr>
        <w:noProof/>
      </w:rPr>
      <w:t>ii</w:t>
    </w:r>
    <w:r>
      <w:rPr>
        <w:noProof/>
      </w:rPr>
      <w:fldChar w:fldCharType="end"/>
    </w:r>
  </w:p>
  <w:p w:rsidR="002F162A" w:rsidRDefault="002F162A" w:rsidP="002F162A">
    <w:pPr>
      <w:pStyle w:val="Footer"/>
    </w:pPr>
  </w:p>
  <w:p w:rsidR="002F162A" w:rsidRDefault="002F162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rsidR="002F162A" w:rsidRDefault="002F16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F162A" w:rsidRDefault="002F162A">
    <w:pPr>
      <w:pStyle w:val="Footer"/>
    </w:pPr>
  </w:p>
  <w:p w:rsidR="002F162A" w:rsidRDefault="002F162A"/>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Any and all geospatial data provided by the CRD was used with permission from the Capital Regional District.</w:t>
      </w:r>
    </w:p>
  </w:footnote>
  <w:footnote w:id="48">
    <w:p>
      <w:pPr>
        <w:pStyle w:val="FootnoteText"/>
      </w:pPr>
      <w:r>
        <w:rPr>
          <w:rStyle w:val="FootnoteReference"/>
        </w:rPr>
        <w:footnoteRef/>
      </w:r>
      <w:r>
        <w:t xml:space="preserve"> </w:t>
      </w:r>
      <w:r>
        <w:t xml:space="preserve">UBC-based laboratory analysis of river samples for DOC concentrations resulted in an overall accuracy of 3.7% assessed by analysis of 20 calibration verification standards.</w:t>
      </w:r>
    </w:p>
  </w:footnote>
  <w:footnote w:id="58">
    <w:p>
      <w:pPr>
        <w:pStyle w:val="FootnoteText"/>
      </w:pPr>
      <w:r>
        <w:rPr>
          <w:rStyle w:val="FootnoteReference"/>
        </w:rPr>
        <w:footnoteRef/>
      </w:r>
      <w:r>
        <w:t xml:space="preserve"> </w:t>
      </w:r>
      <w:r>
        <w:t xml:space="preserve">Following this major event, changes to the stream-bed morphology were evident at Leech-head (site-3) in the form of gravel and cobble deposition, and there was evidence of substantial coarse woody debris transport at Chris crk (site-2).</w:t>
      </w:r>
    </w:p>
  </w:footnote>
  <w:footnote w:id="68">
    <w:p>
      <w:pPr>
        <w:pStyle w:val="FootnoteText"/>
      </w:pPr>
      <w:r>
        <w:rPr>
          <w:rStyle w:val="FootnoteReference"/>
        </w:rPr>
        <w:footnoteRef/>
      </w:r>
      <w:r>
        <w:t xml:space="preserve"> </w:t>
      </w:r>
      <w:r>
        <w:t xml:space="preserve">The Wilcoxon signed-rank test is a non-parametric paired difference test used in comparing two related samples to assess whether their means differ, or are the same (null hypothesis); it is an alternative to paired Student’s t-tests, suitable for when the differences between two sample’s means are not assumed to be normally distributed.</w:t>
      </w:r>
    </w:p>
  </w:footnote>
  <w:footnote w:id="75">
    <w:p>
      <w:pPr>
        <w:pStyle w:val="FootnoteText"/>
      </w:pPr>
      <w:r>
        <w:rPr>
          <w:rStyle w:val="FootnoteReference"/>
        </w:rPr>
        <w:footnoteRef/>
      </w:r>
      <w:r>
        <w:t xml:space="preserve"> </w:t>
      </w:r>
      <w:r>
        <w:t xml:space="preserve">Relative standard deviation (RSD) reflects how values range around the mean within a group; it is a ratio of the absolute standard deviation relative to the mean. And standard deviation is the square root of the variance.</w:t>
      </w:r>
    </w:p>
  </w:footnote>
  <w:footnote w:id="76">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E22B7B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9CC6EFF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EFE92D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04AB8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282B61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46237C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E146E1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014E8D4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C6E4E3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398154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F1B8A5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4"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19"/>
  </w:num>
  <w:num w:numId="3">
    <w:abstractNumId w:val="15"/>
  </w:num>
  <w:num w:numId="4">
    <w:abstractNumId w:val="21"/>
  </w:num>
  <w:num w:numId="5">
    <w:abstractNumId w:val="22"/>
  </w:num>
  <w:num w:numId="6">
    <w:abstractNumId w:val="17"/>
  </w:num>
  <w:num w:numId="7">
    <w:abstractNumId w:val="24"/>
  </w:num>
  <w:num w:numId="8">
    <w:abstractNumId w:val="23"/>
  </w:num>
  <w:num w:numId="9">
    <w:abstractNumId w:val="14"/>
  </w:num>
  <w:num w:numId="10">
    <w:abstractNumId w:val="12"/>
  </w:num>
  <w:num w:numId="11">
    <w:abstractNumId w:val="4"/>
  </w:num>
  <w:num w:numId="12">
    <w:abstractNumId w:val="20"/>
  </w:num>
  <w:num w:numId="13">
    <w:abstractNumId w:val="13"/>
  </w:num>
  <w:num w:numId="14">
    <w:abstractNumId w:val="25"/>
  </w:num>
  <w:num w:numId="15">
    <w:abstractNumId w:val="11"/>
  </w:num>
  <w:num w:numId="16">
    <w:abstractNumId w:val="18"/>
  </w:num>
  <w:num w:numId="17">
    <w:abstractNumId w:val="0"/>
  </w:num>
  <w:num w:numId="18">
    <w:abstractNumId w:val="0"/>
  </w:num>
  <w:num w:numId="19">
    <w:abstractNumId w:val="0"/>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10"/>
  </w:num>
  <w:num w:numId="24">
    <w:abstractNumId w:val="8"/>
  </w:num>
  <w:num w:numId="25">
    <w:abstractNumId w:val="7"/>
  </w:num>
  <w:num w:numId="26">
    <w:abstractNumId w:val="6"/>
  </w:num>
  <w:num w:numId="27">
    <w:abstractNumId w:val="5"/>
  </w:num>
  <w:num w:numId="28">
    <w:abstractNumId w:val="9"/>
  </w:num>
  <w:num w:numId="29">
    <w:abstractNumId w:val="3"/>
  </w:num>
  <w:num w:numId="30">
    <w:abstractNumId w:val="2"/>
  </w:num>
  <w:num w:numId="31">
    <w:abstractNumId w:val="1"/>
  </w:num>
  <w:num w:numId="32">
    <w:abstractNumId w:val="18"/>
  </w:num>
  <w:num w:numId="33">
    <w:abstractNumId w:val="0"/>
  </w:num>
  <w:num w:numId="34">
    <w:abstractNumId w:val="0"/>
  </w:num>
  <w:num w:numId="35">
    <w:abstractNumId w:val="0"/>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Iskoola Pota" w:eastAsia="Cambria" w:hAnsi="Iskoola Pota" w:cs="Iskoola Pota"/>
        <w:sz w:val="24"/>
        <w:szCs w:val="24"/>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8"/>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8"/>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8"/>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8"/>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E24359"/>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E24359"/>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E24359"/>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1.xml" /><Relationship Type="http://schemas.openxmlformats.org/officeDocument/2006/relationships/image" Id="rId45" Target="media/rId45.png"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88" Target="media/rId88.png" /><Relationship Type="http://schemas.openxmlformats.org/officeDocument/2006/relationships/image" Id="rId83" Target="media/rId83.png" /><Relationship Type="http://schemas.openxmlformats.org/officeDocument/2006/relationships/image" Id="rId82" Target="media/rId82.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74" Target="media/rId74.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81" Target="media/rId81.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64" Target="media/rId64.png" /><Relationship Type="http://schemas.openxmlformats.org/officeDocument/2006/relationships/image" Id="rId62" Target="media/rId62.png" /><Relationship Type="http://schemas.openxmlformats.org/officeDocument/2006/relationships/image" Id="rId61" Target="media/rId61.png" /><Relationship Type="http://schemas.openxmlformats.org/officeDocument/2006/relationships/image" Id="rId72" Target="media/rId72.png"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59" Target="media/rId59.png" /><Relationship Type="http://schemas.openxmlformats.org/officeDocument/2006/relationships/image" Id="rId116" Target="media/rId116.png" /><Relationship Type="http://schemas.openxmlformats.org/officeDocument/2006/relationships/image" Id="rId115" Target="media/rId115.png" /><Relationship Type="http://schemas.openxmlformats.org/officeDocument/2006/relationships/image" Id="rId79" Target="media/rId79.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hyperlink" Id="rId142" Target="http://scholar.google.com/scholar?hl=en%7B\&amp;%7DbtnG=Search%7B\&amp;%7Dq=intitle:Running+Pure%7B\#%7D1" TargetMode="External" /><Relationship Type="http://schemas.openxmlformats.org/officeDocument/2006/relationships/hyperlink" Id="rId26" Target="http://stackoverflow.com" TargetMode="External" /><Relationship Type="http://schemas.openxmlformats.org/officeDocument/2006/relationships/hyperlink" Id="rId144" Target="http://www.standardmethods.org/" TargetMode="External" /><Relationship Type="http://schemas.openxmlformats.org/officeDocument/2006/relationships/hyperlink" Id="rId164" Target="https://archive.org/details/metaltransportre00lazeuoft/mode/2up" TargetMode="External" /><Relationship Type="http://schemas.openxmlformats.org/officeDocument/2006/relationships/hyperlink" Id="rId160" Target="https://doi.org/10.1002/j.1551-8833.1995.tb06302.x" TargetMode="External" /><Relationship Type="http://schemas.openxmlformats.org/officeDocument/2006/relationships/hyperlink" Id="rId196" Target="https://doi.org/10.1007/s10533-008-9207-6" TargetMode="External" /><Relationship Type="http://schemas.openxmlformats.org/officeDocument/2006/relationships/hyperlink" Id="rId175" Target="https://doi.org/10.1007/s10533-015-0103-6" TargetMode="External" /><Relationship Type="http://schemas.openxmlformats.org/officeDocument/2006/relationships/hyperlink" Id="rId179" Target="https://doi.org/10.1007/s11270-013-1651-9" TargetMode="External" /><Relationship Type="http://schemas.openxmlformats.org/officeDocument/2006/relationships/hyperlink" Id="rId200" Target="https://doi.org/10.1007/s11356-015-4078-6" TargetMode="External" /><Relationship Type="http://schemas.openxmlformats.org/officeDocument/2006/relationships/hyperlink" Id="rId186" Target="https://doi.org/10.1007/sl0533-010-9416-7" TargetMode="External" /><Relationship Type="http://schemas.openxmlformats.org/officeDocument/2006/relationships/hyperlink" Id="rId138" Target="https://doi.org/10.1016/B978-0-12-382092-1.00019-1" TargetMode="External" /><Relationship Type="http://schemas.openxmlformats.org/officeDocument/2006/relationships/hyperlink" Id="rId181" Target="https://doi.org/10.1016/S0003-2670(96)00412-6" TargetMode="External" /><Relationship Type="http://schemas.openxmlformats.org/officeDocument/2006/relationships/hyperlink" Id="rId168" Target="https://doi.org/10.1016/j.chemosphere.2011.01.018" TargetMode="External" /><Relationship Type="http://schemas.openxmlformats.org/officeDocument/2006/relationships/hyperlink" Id="rId158" Target="https://doi.org/10.1016/j.chemosphere.2015.03.039" TargetMode="External" /><Relationship Type="http://schemas.openxmlformats.org/officeDocument/2006/relationships/hyperlink" Id="rId170" Target="https://doi.org/10.1016/j.cis.2010.06.007" TargetMode="External" /><Relationship Type="http://schemas.openxmlformats.org/officeDocument/2006/relationships/hyperlink" Id="rId166" Target="https://doi.org/10.1016/j.jhazmat.2014.02.009" TargetMode="External" /><Relationship Type="http://schemas.openxmlformats.org/officeDocument/2006/relationships/hyperlink" Id="rId125" Target="https://doi.org/10.1016/j.jhydrol.2014.05.060" TargetMode="External" /><Relationship Type="http://schemas.openxmlformats.org/officeDocument/2006/relationships/hyperlink" Id="rId190" Target="https://doi.org/10.1016/j.mrrev.2007.09.001" TargetMode="External" /><Relationship Type="http://schemas.openxmlformats.org/officeDocument/2006/relationships/hyperlink" Id="rId146" Target="https://doi.org/10.1016/j.watres.2010.08.051" TargetMode="External" /><Relationship Type="http://schemas.openxmlformats.org/officeDocument/2006/relationships/hyperlink" Id="rId140" Target="https://doi.org/10.1016/j.watres.2016.08.031" TargetMode="External" /><Relationship Type="http://schemas.openxmlformats.org/officeDocument/2006/relationships/hyperlink" Id="rId198" Target="https://doi.org/10.1021/es030360x" TargetMode="External" /><Relationship Type="http://schemas.openxmlformats.org/officeDocument/2006/relationships/hyperlink" Id="rId123" Target="https://doi.org/10.1021/es103992s" TargetMode="External" /><Relationship Type="http://schemas.openxmlformats.org/officeDocument/2006/relationships/hyperlink" Id="rId202" Target="https://doi.org/10.1029/2018GL080005" TargetMode="External" /><Relationship Type="http://schemas.openxmlformats.org/officeDocument/2006/relationships/hyperlink" Id="rId121" Target="https://doi.org/10.1111/ele.12897" TargetMode="External" /><Relationship Type="http://schemas.openxmlformats.org/officeDocument/2006/relationships/hyperlink" Id="rId192" Target="https://doi.org/10.1111/j.1365-2427.2011.02613.x" TargetMode="External" /><Relationship Type="http://schemas.openxmlformats.org/officeDocument/2006/relationships/hyperlink" Id="rId136" Target="https://doi.org/10.1139/cjfas-2014-0400" TargetMode="External" /><Relationship Type="http://schemas.openxmlformats.org/officeDocument/2006/relationships/hyperlink" Id="rId130" Target="https://doi.org/10.2166/aqua.2008.064" TargetMode="External" /><Relationship Type="http://schemas.openxmlformats.org/officeDocument/2006/relationships/hyperlink" Id="rId148" Target="https://doi.org/10.3133/fs06700" TargetMode="External" /><Relationship Type="http://schemas.openxmlformats.org/officeDocument/2006/relationships/hyperlink" Id="rId177" Target="https://doi.org/10.5194/bg-10-2315-2013" TargetMode="External" /><Relationship Type="http://schemas.openxmlformats.org/officeDocument/2006/relationships/hyperlink" Id="rId134" Target="https://doi.org/IWSS-297445977-5079" TargetMode="External" /><Relationship Type="http://schemas.openxmlformats.org/officeDocument/2006/relationships/hyperlink" Id="rId162" Target="https://doi.org/doi:10.1046/j.1365-2427.1997.d01-539.x" TargetMode="External" /><Relationship Type="http://schemas.openxmlformats.org/officeDocument/2006/relationships/hyperlink" Id="rId150" Target="https://www.canada.ca/content/dam/hc-sc/documents/programs/consultation-organic-matter-drinking-water/NOM20190129-eng.pdf" TargetMode="External" /><Relationship Type="http://schemas.openxmlformats.org/officeDocument/2006/relationships/hyperlink" Id="rId152" Target="https://www.canada.ca/en/health-canada/services/healthy-living/your-health/environment/drinking-water-chlorination.html" TargetMode="External" /><Relationship Type="http://schemas.openxmlformats.org/officeDocument/2006/relationships/hyperlink" Id="rId132" Target="https://www.crd.bc.ca/project/past-capital-projects-and-initiatives/water-supply-plan" TargetMode="External" /><Relationship Type="http://schemas.openxmlformats.org/officeDocument/2006/relationships/hyperlink" Id="rId183"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54" Target="https://www.healthlinkbc.ca/healthlinkbc-files/drinking-water-chlorination" TargetMode="External" /><Relationship Type="http://schemas.openxmlformats.org/officeDocument/2006/relationships/hyperlink" Id="rId172" Target="https://www.jstor.org/stable/1937326" TargetMode="External" /><Relationship Type="http://schemas.openxmlformats.org/officeDocument/2006/relationships/hyperlink" Id="rId188" Target="https://www.jstor.org/stable/24702986" TargetMode="External" /><Relationship Type="http://schemas.openxmlformats.org/officeDocument/2006/relationships/hyperlink" Id="rId156" Target="https://www.jstor.org/stable/40058211" TargetMode="External" /><Relationship Type="http://schemas.openxmlformats.org/officeDocument/2006/relationships/hyperlink" Id="rId127"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142" Target="http://scholar.google.com/scholar?hl=en%7B\&amp;%7DbtnG=Search%7B\&amp;%7Dq=intitle:Running+Pure%7B\#%7D1" TargetMode="External" /><Relationship Type="http://schemas.openxmlformats.org/officeDocument/2006/relationships/hyperlink" Id="rId26" Target="http://stackoverflow.com" TargetMode="External" /><Relationship Type="http://schemas.openxmlformats.org/officeDocument/2006/relationships/hyperlink" Id="rId144" Target="http://www.standardmethods.org/" TargetMode="External" /><Relationship Type="http://schemas.openxmlformats.org/officeDocument/2006/relationships/hyperlink" Id="rId164" Target="https://archive.org/details/metaltransportre00lazeuoft/mode/2up" TargetMode="External" /><Relationship Type="http://schemas.openxmlformats.org/officeDocument/2006/relationships/hyperlink" Id="rId160" Target="https://doi.org/10.1002/j.1551-8833.1995.tb06302.x" TargetMode="External" /><Relationship Type="http://schemas.openxmlformats.org/officeDocument/2006/relationships/hyperlink" Id="rId196" Target="https://doi.org/10.1007/s10533-008-9207-6" TargetMode="External" /><Relationship Type="http://schemas.openxmlformats.org/officeDocument/2006/relationships/hyperlink" Id="rId175" Target="https://doi.org/10.1007/s10533-015-0103-6" TargetMode="External" /><Relationship Type="http://schemas.openxmlformats.org/officeDocument/2006/relationships/hyperlink" Id="rId179" Target="https://doi.org/10.1007/s11270-013-1651-9" TargetMode="External" /><Relationship Type="http://schemas.openxmlformats.org/officeDocument/2006/relationships/hyperlink" Id="rId200" Target="https://doi.org/10.1007/s11356-015-4078-6" TargetMode="External" /><Relationship Type="http://schemas.openxmlformats.org/officeDocument/2006/relationships/hyperlink" Id="rId186" Target="https://doi.org/10.1007/sl0533-010-9416-7" TargetMode="External" /><Relationship Type="http://schemas.openxmlformats.org/officeDocument/2006/relationships/hyperlink" Id="rId138" Target="https://doi.org/10.1016/B978-0-12-382092-1.00019-1" TargetMode="External" /><Relationship Type="http://schemas.openxmlformats.org/officeDocument/2006/relationships/hyperlink" Id="rId181" Target="https://doi.org/10.1016/S0003-2670(96)00412-6" TargetMode="External" /><Relationship Type="http://schemas.openxmlformats.org/officeDocument/2006/relationships/hyperlink" Id="rId168" Target="https://doi.org/10.1016/j.chemosphere.2011.01.018" TargetMode="External" /><Relationship Type="http://schemas.openxmlformats.org/officeDocument/2006/relationships/hyperlink" Id="rId158" Target="https://doi.org/10.1016/j.chemosphere.2015.03.039" TargetMode="External" /><Relationship Type="http://schemas.openxmlformats.org/officeDocument/2006/relationships/hyperlink" Id="rId170" Target="https://doi.org/10.1016/j.cis.2010.06.007" TargetMode="External" /><Relationship Type="http://schemas.openxmlformats.org/officeDocument/2006/relationships/hyperlink" Id="rId166" Target="https://doi.org/10.1016/j.jhazmat.2014.02.009" TargetMode="External" /><Relationship Type="http://schemas.openxmlformats.org/officeDocument/2006/relationships/hyperlink" Id="rId125" Target="https://doi.org/10.1016/j.jhydrol.2014.05.060" TargetMode="External" /><Relationship Type="http://schemas.openxmlformats.org/officeDocument/2006/relationships/hyperlink" Id="rId190" Target="https://doi.org/10.1016/j.mrrev.2007.09.001" TargetMode="External" /><Relationship Type="http://schemas.openxmlformats.org/officeDocument/2006/relationships/hyperlink" Id="rId146" Target="https://doi.org/10.1016/j.watres.2010.08.051" TargetMode="External" /><Relationship Type="http://schemas.openxmlformats.org/officeDocument/2006/relationships/hyperlink" Id="rId140" Target="https://doi.org/10.1016/j.watres.2016.08.031" TargetMode="External" /><Relationship Type="http://schemas.openxmlformats.org/officeDocument/2006/relationships/hyperlink" Id="rId198" Target="https://doi.org/10.1021/es030360x" TargetMode="External" /><Relationship Type="http://schemas.openxmlformats.org/officeDocument/2006/relationships/hyperlink" Id="rId123" Target="https://doi.org/10.1021/es103992s" TargetMode="External" /><Relationship Type="http://schemas.openxmlformats.org/officeDocument/2006/relationships/hyperlink" Id="rId202" Target="https://doi.org/10.1029/2018GL080005" TargetMode="External" /><Relationship Type="http://schemas.openxmlformats.org/officeDocument/2006/relationships/hyperlink" Id="rId121" Target="https://doi.org/10.1111/ele.12897" TargetMode="External" /><Relationship Type="http://schemas.openxmlformats.org/officeDocument/2006/relationships/hyperlink" Id="rId192" Target="https://doi.org/10.1111/j.1365-2427.2011.02613.x" TargetMode="External" /><Relationship Type="http://schemas.openxmlformats.org/officeDocument/2006/relationships/hyperlink" Id="rId136" Target="https://doi.org/10.1139/cjfas-2014-0400" TargetMode="External" /><Relationship Type="http://schemas.openxmlformats.org/officeDocument/2006/relationships/hyperlink" Id="rId130" Target="https://doi.org/10.2166/aqua.2008.064" TargetMode="External" /><Relationship Type="http://schemas.openxmlformats.org/officeDocument/2006/relationships/hyperlink" Id="rId148" Target="https://doi.org/10.3133/fs06700" TargetMode="External" /><Relationship Type="http://schemas.openxmlformats.org/officeDocument/2006/relationships/hyperlink" Id="rId177" Target="https://doi.org/10.5194/bg-10-2315-2013" TargetMode="External" /><Relationship Type="http://schemas.openxmlformats.org/officeDocument/2006/relationships/hyperlink" Id="rId134" Target="https://doi.org/IWSS-297445977-5079" TargetMode="External" /><Relationship Type="http://schemas.openxmlformats.org/officeDocument/2006/relationships/hyperlink" Id="rId162" Target="https://doi.org/doi:10.1046/j.1365-2427.1997.d01-539.x" TargetMode="External" /><Relationship Type="http://schemas.openxmlformats.org/officeDocument/2006/relationships/hyperlink" Id="rId150" Target="https://www.canada.ca/content/dam/hc-sc/documents/programs/consultation-organic-matter-drinking-water/NOM20190129-eng.pdf" TargetMode="External" /><Relationship Type="http://schemas.openxmlformats.org/officeDocument/2006/relationships/hyperlink" Id="rId152" Target="https://www.canada.ca/en/health-canada/services/healthy-living/your-health/environment/drinking-water-chlorination.html" TargetMode="External" /><Relationship Type="http://schemas.openxmlformats.org/officeDocument/2006/relationships/hyperlink" Id="rId132" Target="https://www.crd.bc.ca/project/past-capital-projects-and-initiatives/water-supply-plan" TargetMode="External" /><Relationship Type="http://schemas.openxmlformats.org/officeDocument/2006/relationships/hyperlink" Id="rId183"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54" Target="https://www.healthlinkbc.ca/healthlinkbc-files/drinking-water-chlorination" TargetMode="External" /><Relationship Type="http://schemas.openxmlformats.org/officeDocument/2006/relationships/hyperlink" Id="rId172" Target="https://www.jstor.org/stable/1937326" TargetMode="External" /><Relationship Type="http://schemas.openxmlformats.org/officeDocument/2006/relationships/hyperlink" Id="rId188" Target="https://www.jstor.org/stable/24702986" TargetMode="External" /><Relationship Type="http://schemas.openxmlformats.org/officeDocument/2006/relationships/hyperlink" Id="rId156" Target="https://www.jstor.org/stable/40058211" TargetMode="External" /><Relationship Type="http://schemas.openxmlformats.org/officeDocument/2006/relationships/hyperlink" Id="rId127"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109</Pages>
  <Words>16615</Words>
  <Characters>94709</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CTLT</Company>
  <LinksUpToDate>false</LinksUpToDate>
  <CharactersWithSpaces>111102</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dcterms:created xsi:type="dcterms:W3CDTF">2020-06-20T04:59:53Z</dcterms:created>
  <dcterms:modified xsi:type="dcterms:W3CDTF">2020-06-20T04:59:53Z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tables">
    <vt:lpwstr>True</vt:lpwstr>
  </property>
</Properties>
</file>